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BC" w:rsidRDefault="00B259BC">
      <w:pPr>
        <w:pStyle w:val="ConsPlusTitlePage"/>
      </w:pPr>
      <w:r>
        <w:t xml:space="preserve">Документ предоставлен </w:t>
      </w:r>
      <w:hyperlink r:id="rId5" w:history="1">
        <w:r>
          <w:rPr>
            <w:color w:val="0000FF"/>
          </w:rPr>
          <w:t>КонсультантПлюс</w:t>
        </w:r>
      </w:hyperlink>
      <w:r>
        <w:br/>
      </w:r>
    </w:p>
    <w:p w:rsidR="00B259BC" w:rsidRDefault="00B259BC">
      <w:pPr>
        <w:pStyle w:val="ConsPlusNormal"/>
        <w:jc w:val="both"/>
        <w:outlineLvl w:val="0"/>
      </w:pPr>
    </w:p>
    <w:p w:rsidR="00B259BC" w:rsidRDefault="00B259BC">
      <w:pPr>
        <w:pStyle w:val="ConsPlusNormal"/>
        <w:outlineLvl w:val="0"/>
      </w:pPr>
      <w:r>
        <w:t>Зарегистрировано в Минюсте России 20 июня 2022 г. N 68899</w:t>
      </w:r>
    </w:p>
    <w:p w:rsidR="00B259BC" w:rsidRDefault="00B259BC">
      <w:pPr>
        <w:pStyle w:val="ConsPlusNormal"/>
        <w:pBdr>
          <w:top w:val="single" w:sz="6" w:space="0" w:color="auto"/>
        </w:pBdr>
        <w:spacing w:before="100" w:after="100"/>
        <w:jc w:val="both"/>
        <w:rPr>
          <w:sz w:val="2"/>
          <w:szCs w:val="2"/>
        </w:rPr>
      </w:pPr>
    </w:p>
    <w:p w:rsidR="00B259BC" w:rsidRDefault="00B259BC">
      <w:pPr>
        <w:pStyle w:val="ConsPlusNormal"/>
        <w:jc w:val="both"/>
      </w:pPr>
    </w:p>
    <w:p w:rsidR="00B259BC" w:rsidRDefault="00B259BC">
      <w:pPr>
        <w:pStyle w:val="ConsPlusTitle"/>
        <w:jc w:val="center"/>
      </w:pPr>
      <w:r>
        <w:t>ФЕДЕРАЛЬНЫЙ ФОНД ОБЯЗАТЕЛЬНОГО МЕДИЦИНСКОГО СТРАХОВАНИЯ</w:t>
      </w:r>
    </w:p>
    <w:p w:rsidR="00B259BC" w:rsidRDefault="00B259BC">
      <w:pPr>
        <w:pStyle w:val="ConsPlusTitle"/>
        <w:jc w:val="center"/>
      </w:pPr>
    </w:p>
    <w:p w:rsidR="00B259BC" w:rsidRDefault="00B259BC">
      <w:pPr>
        <w:pStyle w:val="ConsPlusTitle"/>
        <w:jc w:val="center"/>
      </w:pPr>
      <w:r>
        <w:t>ПРИКАЗ</w:t>
      </w:r>
    </w:p>
    <w:p w:rsidR="00B259BC" w:rsidRDefault="00B259BC">
      <w:pPr>
        <w:pStyle w:val="ConsPlusTitle"/>
        <w:jc w:val="center"/>
      </w:pPr>
      <w:r>
        <w:t>от 12 мая 2022 г. N 47н</w:t>
      </w:r>
    </w:p>
    <w:p w:rsidR="00B259BC" w:rsidRDefault="00B259BC">
      <w:pPr>
        <w:pStyle w:val="ConsPlusTitle"/>
        <w:jc w:val="center"/>
      </w:pPr>
    </w:p>
    <w:p w:rsidR="00B259BC" w:rsidRDefault="00B259BC">
      <w:pPr>
        <w:pStyle w:val="ConsPlusTitle"/>
        <w:jc w:val="center"/>
      </w:pPr>
      <w:r>
        <w:t>ОБ УТВЕРЖДЕНИИ ПОРЯДКА</w:t>
      </w:r>
    </w:p>
    <w:p w:rsidR="00B259BC" w:rsidRDefault="00B259BC">
      <w:pPr>
        <w:pStyle w:val="ConsPlusTitle"/>
        <w:jc w:val="center"/>
      </w:pPr>
      <w:r>
        <w:t>ПРЕДСТАВЛЕНИЯ И ФОРМЫ ОТЧЕТА О РАСХОДАХ БЮДЖЕТА</w:t>
      </w:r>
    </w:p>
    <w:p w:rsidR="00B259BC" w:rsidRDefault="00B259BC">
      <w:pPr>
        <w:pStyle w:val="ConsPlusTitle"/>
        <w:jc w:val="center"/>
      </w:pPr>
      <w:r>
        <w:t>ТЕРРИТОРИАЛЬНОГО ФОНДА ОБЯЗАТЕЛЬНОГО МЕДИЦИНСКОГО</w:t>
      </w:r>
    </w:p>
    <w:p w:rsidR="00B259BC" w:rsidRDefault="00B259BC">
      <w:pPr>
        <w:pStyle w:val="ConsPlusTitle"/>
        <w:jc w:val="center"/>
      </w:pPr>
      <w:r>
        <w:t>СТРАХОВАНИЯ, ИСТОЧНИКОМ ФИНАНСОВОГО ОБЕСПЕЧЕНИЯ</w:t>
      </w:r>
    </w:p>
    <w:p w:rsidR="00B259BC" w:rsidRDefault="00B259BC">
      <w:pPr>
        <w:pStyle w:val="ConsPlusTitle"/>
        <w:jc w:val="center"/>
      </w:pPr>
      <w:proofErr w:type="gramStart"/>
      <w:r>
        <w:t>КОТОРЫХ</w:t>
      </w:r>
      <w:proofErr w:type="gramEnd"/>
      <w:r>
        <w:t xml:space="preserve"> ЯВЛЯЮТСЯ ИНЫЕ МЕЖБЮДЖЕТНЫЕ ТРАНСФЕРТЫ БЮДЖЕТАМ</w:t>
      </w:r>
    </w:p>
    <w:p w:rsidR="00B259BC" w:rsidRDefault="00B259BC">
      <w:pPr>
        <w:pStyle w:val="ConsPlusTitle"/>
        <w:jc w:val="center"/>
      </w:pPr>
      <w:r>
        <w:t>ТЕРРИТОРИАЛЬНЫХ ФОНДОВ ОБЯЗАТЕЛЬНОГО МЕДИЦИНСКОГО</w:t>
      </w:r>
    </w:p>
    <w:p w:rsidR="00B259BC" w:rsidRDefault="00B259BC">
      <w:pPr>
        <w:pStyle w:val="ConsPlusTitle"/>
        <w:jc w:val="center"/>
      </w:pPr>
      <w:r>
        <w:t>СТРАХОВАНИЯ НА ФИНАНСОВОЕ ОБЕСПЕЧЕНИЕ ФОРМИРОВАНИЯ</w:t>
      </w:r>
    </w:p>
    <w:p w:rsidR="00B259BC" w:rsidRDefault="00B259BC">
      <w:pPr>
        <w:pStyle w:val="ConsPlusTitle"/>
        <w:jc w:val="center"/>
      </w:pPr>
      <w:r>
        <w:t>НОРМИРОВАННОГО СТРАХОВОГО ЗАПАСА ТЕРРИТОРИАЛЬНОГО ФОНДА</w:t>
      </w:r>
    </w:p>
    <w:p w:rsidR="00B259BC" w:rsidRDefault="00B259BC">
      <w:pPr>
        <w:pStyle w:val="ConsPlusTitle"/>
        <w:jc w:val="center"/>
      </w:pPr>
      <w:r>
        <w:t>ОБЯЗАТЕЛЬНОГО МЕДИЦИНСКОГО СТРАХОВАНИЯ НА ЦЕЛИ, УКАЗАННЫЕ</w:t>
      </w:r>
    </w:p>
    <w:p w:rsidR="00B259BC" w:rsidRDefault="00B259BC">
      <w:pPr>
        <w:pStyle w:val="ConsPlusTitle"/>
        <w:jc w:val="center"/>
      </w:pPr>
      <w:r>
        <w:t>В ПУНКТЕ 4 ЧАСТИ 6 СТАТЬИ 26 ФЕДЕРАЛЬНОГО ЗАКОНА</w:t>
      </w:r>
    </w:p>
    <w:p w:rsidR="00B259BC" w:rsidRDefault="00B259BC">
      <w:pPr>
        <w:pStyle w:val="ConsPlusTitle"/>
        <w:jc w:val="center"/>
      </w:pPr>
      <w:r>
        <w:t>"ОБ ОБЯЗАТЕЛЬНОМ МЕДИЦИНСКОМ СТРАХОВАНИИ</w:t>
      </w:r>
    </w:p>
    <w:p w:rsidR="00B259BC" w:rsidRDefault="00B259BC">
      <w:pPr>
        <w:pStyle w:val="ConsPlusTitle"/>
        <w:jc w:val="center"/>
      </w:pPr>
      <w:r>
        <w:t>В РОССИЙСКОЙ ФЕДЕРАЦИИ"</w:t>
      </w:r>
    </w:p>
    <w:p w:rsidR="00B259BC" w:rsidRDefault="00B259BC">
      <w:pPr>
        <w:pStyle w:val="ConsPlusNormal"/>
        <w:jc w:val="both"/>
      </w:pPr>
    </w:p>
    <w:p w:rsidR="00B259BC" w:rsidRDefault="00B259BC">
      <w:pPr>
        <w:pStyle w:val="ConsPlusNormal"/>
        <w:ind w:firstLine="540"/>
        <w:jc w:val="both"/>
      </w:pPr>
      <w:proofErr w:type="gramStart"/>
      <w:r>
        <w:t xml:space="preserve">В соответствии с </w:t>
      </w:r>
      <w:hyperlink r:id="rId6" w:history="1">
        <w:r>
          <w:rPr>
            <w:color w:val="0000FF"/>
          </w:rPr>
          <w:t>пунктом 4 части 2 статьи 7</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и </w:t>
      </w:r>
      <w:hyperlink r:id="rId7" w:history="1">
        <w:r>
          <w:rPr>
            <w:color w:val="0000FF"/>
          </w:rPr>
          <w:t>пунктом 14</w:t>
        </w:r>
      </w:hyperlink>
      <w: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w:t>
      </w:r>
      <w:proofErr w:type="gramEnd"/>
      <w:r>
        <w:t xml:space="preserve"> оплату труда врачей и среднего медицинского персонала, утвержденных постановлением Правительства Российской Федерации от 27 декабря 2019 г. N 1910 (Собрание законодательства Российской Федерации, 2020, N 1, ст. 95), приказываю:</w:t>
      </w:r>
    </w:p>
    <w:p w:rsidR="00B259BC" w:rsidRDefault="00B259BC">
      <w:pPr>
        <w:pStyle w:val="ConsPlusNormal"/>
        <w:spacing w:before="220"/>
        <w:ind w:firstLine="540"/>
        <w:jc w:val="both"/>
      </w:pPr>
      <w:r>
        <w:t>1. Утвердить:</w:t>
      </w:r>
    </w:p>
    <w:p w:rsidR="00B259BC" w:rsidRDefault="00B259BC">
      <w:pPr>
        <w:pStyle w:val="ConsPlusNormal"/>
        <w:spacing w:before="220"/>
        <w:ind w:firstLine="540"/>
        <w:jc w:val="both"/>
      </w:pPr>
      <w:hyperlink w:anchor="P40" w:history="1">
        <w:proofErr w:type="gramStart"/>
        <w:r>
          <w:rPr>
            <w:color w:val="0000FF"/>
          </w:rPr>
          <w:t>порядок</w:t>
        </w:r>
      </w:hyperlink>
      <w:r>
        <w:t xml:space="preserve"> представления отчета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"Об обязательном медицинском страховании в Российской Федерации" согласно приложению N 1</w:t>
      </w:r>
      <w:proofErr w:type="gramEnd"/>
      <w:r>
        <w:t>;</w:t>
      </w:r>
    </w:p>
    <w:p w:rsidR="00B259BC" w:rsidRDefault="00B259BC">
      <w:pPr>
        <w:pStyle w:val="ConsPlusNormal"/>
        <w:spacing w:before="220"/>
        <w:ind w:firstLine="540"/>
        <w:jc w:val="both"/>
      </w:pPr>
      <w:hyperlink w:anchor="P109" w:history="1">
        <w:proofErr w:type="gramStart"/>
        <w:r>
          <w:rPr>
            <w:color w:val="0000FF"/>
          </w:rPr>
          <w:t>форму</w:t>
        </w:r>
      </w:hyperlink>
      <w:r>
        <w:t xml:space="preserve"> отчета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"Об обязательном медицинском страховании в Российской Федерации" согласно приложению N 2.</w:t>
      </w:r>
      <w:proofErr w:type="gramEnd"/>
    </w:p>
    <w:p w:rsidR="00B259BC" w:rsidRDefault="00B259BC">
      <w:pPr>
        <w:pStyle w:val="ConsPlusNormal"/>
        <w:spacing w:before="220"/>
        <w:ind w:firstLine="540"/>
        <w:jc w:val="both"/>
      </w:pPr>
      <w:r>
        <w:t xml:space="preserve">2. </w:t>
      </w:r>
      <w:proofErr w:type="gramStart"/>
      <w:r>
        <w:t xml:space="preserve">Признать утратившим силу </w:t>
      </w:r>
      <w:hyperlink r:id="rId8" w:history="1">
        <w:r>
          <w:rPr>
            <w:color w:val="0000FF"/>
          </w:rPr>
          <w:t>приказ</w:t>
        </w:r>
      </w:hyperlink>
      <w:r>
        <w:t xml:space="preserve"> Федерального фонда обязательного медицинского страхования от 4 февраля 2020 г. N 24 "Об утверждении формы и порядка представления отчета об использовании средств нормированного страхового запаса территориального фонда </w:t>
      </w:r>
      <w:r>
        <w:lastRenderedPageBreak/>
        <w:t>обязательного медицинского страхования для софинансирования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 на оплату</w:t>
      </w:r>
      <w:proofErr w:type="gramEnd"/>
      <w:r>
        <w:t xml:space="preserve"> труда врачей и среднего медицинского персонала" (</w:t>
      </w:r>
      <w:proofErr w:type="gramStart"/>
      <w:r>
        <w:t>зарегистрирован</w:t>
      </w:r>
      <w:proofErr w:type="gramEnd"/>
      <w:r>
        <w:t xml:space="preserve"> Министерством юстиции Российской Федерации 3 марта 2020 г., регистрационный N 57652).</w:t>
      </w:r>
    </w:p>
    <w:p w:rsidR="00B259BC" w:rsidRDefault="00B259BC">
      <w:pPr>
        <w:pStyle w:val="ConsPlusNormal"/>
        <w:jc w:val="both"/>
      </w:pPr>
    </w:p>
    <w:p w:rsidR="00B259BC" w:rsidRDefault="00B259BC">
      <w:pPr>
        <w:pStyle w:val="ConsPlusNormal"/>
        <w:jc w:val="right"/>
      </w:pPr>
      <w:r>
        <w:t>Председатель</w:t>
      </w:r>
    </w:p>
    <w:p w:rsidR="00B259BC" w:rsidRDefault="00B259BC">
      <w:pPr>
        <w:pStyle w:val="ConsPlusNormal"/>
        <w:jc w:val="right"/>
      </w:pPr>
      <w:r>
        <w:t>И.В.БАЛАНИН</w:t>
      </w:r>
    </w:p>
    <w:p w:rsidR="00B259BC" w:rsidRDefault="00B259BC">
      <w:pPr>
        <w:pStyle w:val="ConsPlusNormal"/>
        <w:jc w:val="both"/>
      </w:pPr>
    </w:p>
    <w:p w:rsidR="00B259BC" w:rsidRDefault="00B259BC">
      <w:pPr>
        <w:pStyle w:val="ConsPlusNormal"/>
        <w:jc w:val="both"/>
      </w:pPr>
    </w:p>
    <w:p w:rsidR="00B259BC" w:rsidRDefault="00B259BC">
      <w:pPr>
        <w:pStyle w:val="ConsPlusNormal"/>
        <w:jc w:val="both"/>
      </w:pPr>
    </w:p>
    <w:p w:rsidR="00B259BC" w:rsidRDefault="00B259BC">
      <w:pPr>
        <w:pStyle w:val="ConsPlusNormal"/>
        <w:jc w:val="both"/>
      </w:pPr>
    </w:p>
    <w:p w:rsidR="00B259BC" w:rsidRDefault="00B259BC">
      <w:pPr>
        <w:pStyle w:val="ConsPlusNormal"/>
        <w:jc w:val="both"/>
      </w:pPr>
    </w:p>
    <w:p w:rsidR="00B259BC" w:rsidRDefault="00B259BC">
      <w:pPr>
        <w:pStyle w:val="ConsPlusNormal"/>
        <w:jc w:val="right"/>
        <w:outlineLvl w:val="0"/>
      </w:pPr>
      <w:r>
        <w:t>Приложение N 1</w:t>
      </w:r>
    </w:p>
    <w:p w:rsidR="00B259BC" w:rsidRDefault="00B259BC">
      <w:pPr>
        <w:pStyle w:val="ConsPlusNormal"/>
        <w:jc w:val="right"/>
      </w:pPr>
      <w:r>
        <w:t>к приказу Федерального фонда</w:t>
      </w:r>
    </w:p>
    <w:p w:rsidR="00B259BC" w:rsidRDefault="00B259BC">
      <w:pPr>
        <w:pStyle w:val="ConsPlusNormal"/>
        <w:jc w:val="right"/>
      </w:pPr>
      <w:r>
        <w:t>обязательного медицинского страхования</w:t>
      </w:r>
    </w:p>
    <w:p w:rsidR="00B259BC" w:rsidRDefault="00B259BC">
      <w:pPr>
        <w:pStyle w:val="ConsPlusNormal"/>
        <w:jc w:val="right"/>
      </w:pPr>
      <w:r>
        <w:t>от 12 мая 2022 г. N 47н</w:t>
      </w:r>
    </w:p>
    <w:p w:rsidR="00B259BC" w:rsidRDefault="00B259BC">
      <w:pPr>
        <w:pStyle w:val="ConsPlusNormal"/>
        <w:jc w:val="both"/>
      </w:pPr>
    </w:p>
    <w:p w:rsidR="00B259BC" w:rsidRDefault="00B259BC">
      <w:pPr>
        <w:pStyle w:val="ConsPlusTitle"/>
        <w:jc w:val="center"/>
      </w:pPr>
      <w:bookmarkStart w:id="0" w:name="P40"/>
      <w:bookmarkEnd w:id="0"/>
      <w:r>
        <w:t>ПОРЯДОК</w:t>
      </w:r>
    </w:p>
    <w:p w:rsidR="00B259BC" w:rsidRDefault="00B259BC">
      <w:pPr>
        <w:pStyle w:val="ConsPlusTitle"/>
        <w:jc w:val="center"/>
      </w:pPr>
      <w:r>
        <w:t>ПРЕДСТАВЛЕНИЯ ОТЧЕТА О РАСХОДАХ БЮДЖЕТА</w:t>
      </w:r>
    </w:p>
    <w:p w:rsidR="00B259BC" w:rsidRDefault="00B259BC">
      <w:pPr>
        <w:pStyle w:val="ConsPlusTitle"/>
        <w:jc w:val="center"/>
      </w:pPr>
      <w:r>
        <w:t>ТЕРРИТОРИАЛЬНОГО ФОНДА ОБЯЗАТЕЛЬНОГО МЕДИЦИНСКОГО</w:t>
      </w:r>
    </w:p>
    <w:p w:rsidR="00B259BC" w:rsidRDefault="00B259BC">
      <w:pPr>
        <w:pStyle w:val="ConsPlusTitle"/>
        <w:jc w:val="center"/>
      </w:pPr>
      <w:r>
        <w:t>СТРАХОВАНИЯ, ИСТОЧНИКОМ ФИНАНСОВОГО ОБЕСПЕЧЕНИЯ</w:t>
      </w:r>
    </w:p>
    <w:p w:rsidR="00B259BC" w:rsidRDefault="00B259BC">
      <w:pPr>
        <w:pStyle w:val="ConsPlusTitle"/>
        <w:jc w:val="center"/>
      </w:pPr>
      <w:proofErr w:type="gramStart"/>
      <w:r>
        <w:t>КОТОРЫХ</w:t>
      </w:r>
      <w:proofErr w:type="gramEnd"/>
      <w:r>
        <w:t xml:space="preserve"> ЯВЛЯЮТСЯ ИНЫЕ МЕЖБЮДЖЕТНЫЕ ТРАНСФЕРТЫ БЮДЖЕТАМ</w:t>
      </w:r>
    </w:p>
    <w:p w:rsidR="00B259BC" w:rsidRDefault="00B259BC">
      <w:pPr>
        <w:pStyle w:val="ConsPlusTitle"/>
        <w:jc w:val="center"/>
      </w:pPr>
      <w:r>
        <w:t>ТЕРРИТОРИАЛЬНЫХ ФОНДОВ ОБЯЗАТЕЛЬНОГО МЕДИЦИНСКОГО</w:t>
      </w:r>
    </w:p>
    <w:p w:rsidR="00B259BC" w:rsidRDefault="00B259BC">
      <w:pPr>
        <w:pStyle w:val="ConsPlusTitle"/>
        <w:jc w:val="center"/>
      </w:pPr>
      <w:r>
        <w:t>СТРАХОВАНИЯ НА ФИНАНСОВОЕ ОБЕСПЕЧЕНИЕ ФОРМИРОВАНИЯ</w:t>
      </w:r>
    </w:p>
    <w:p w:rsidR="00B259BC" w:rsidRDefault="00B259BC">
      <w:pPr>
        <w:pStyle w:val="ConsPlusTitle"/>
        <w:jc w:val="center"/>
      </w:pPr>
      <w:r>
        <w:t>НОРМИРОВАННОГО СТРАХОВОГО ЗАПАСА ТЕРРИТОРИАЛЬНОГО ФОНДА</w:t>
      </w:r>
    </w:p>
    <w:p w:rsidR="00B259BC" w:rsidRDefault="00B259BC">
      <w:pPr>
        <w:pStyle w:val="ConsPlusTitle"/>
        <w:jc w:val="center"/>
      </w:pPr>
      <w:r>
        <w:t>ОБЯЗАТЕЛЬНОГО МЕДИЦИНСКОГО СТРАХОВАНИЯ НА ЦЕЛИ, УКАЗАННЫЕ</w:t>
      </w:r>
    </w:p>
    <w:p w:rsidR="00B259BC" w:rsidRDefault="00B259BC">
      <w:pPr>
        <w:pStyle w:val="ConsPlusTitle"/>
        <w:jc w:val="center"/>
      </w:pPr>
      <w:r>
        <w:t>В ПУНКТЕ 4 ЧАСТИ 6 СТАТЬИ 26 ФЕДЕРАЛЬНОГО ЗАКОНА</w:t>
      </w:r>
    </w:p>
    <w:p w:rsidR="00B259BC" w:rsidRDefault="00B259BC">
      <w:pPr>
        <w:pStyle w:val="ConsPlusTitle"/>
        <w:jc w:val="center"/>
      </w:pPr>
      <w:r>
        <w:t>"ОБ ОБЯЗАТЕЛЬНОМ МЕДИЦИНСКОМ СТРАХОВАНИИ</w:t>
      </w:r>
    </w:p>
    <w:p w:rsidR="00B259BC" w:rsidRDefault="00B259BC">
      <w:pPr>
        <w:pStyle w:val="ConsPlusTitle"/>
        <w:jc w:val="center"/>
      </w:pPr>
      <w:r>
        <w:t>В РОССИЙСКОЙ ФЕДЕРАЦИИ"</w:t>
      </w:r>
    </w:p>
    <w:p w:rsidR="00B259BC" w:rsidRDefault="00B259BC">
      <w:pPr>
        <w:pStyle w:val="ConsPlusNormal"/>
        <w:jc w:val="both"/>
      </w:pPr>
    </w:p>
    <w:p w:rsidR="00B259BC" w:rsidRDefault="00B259BC">
      <w:pPr>
        <w:pStyle w:val="ConsPlusNormal"/>
        <w:ind w:firstLine="540"/>
        <w:jc w:val="both"/>
      </w:pPr>
      <w:r>
        <w:t xml:space="preserve">1. </w:t>
      </w:r>
      <w:hyperlink w:anchor="P109" w:history="1">
        <w:proofErr w:type="gramStart"/>
        <w:r>
          <w:rPr>
            <w:color w:val="0000FF"/>
          </w:rPr>
          <w:t>Отчет</w:t>
        </w:r>
      </w:hyperlink>
      <w:r>
        <w:t xml:space="preserve">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"Об обязательном медицинском страховании в Российской Федерации" (далее соответственно - отчет, нормированный страховой запас</w:t>
      </w:r>
      <w:proofErr w:type="gramEnd"/>
      <w:r>
        <w:t>), составляется по состоянию на первое число месяца, следующего за отчетным периодом.</w:t>
      </w:r>
    </w:p>
    <w:p w:rsidR="00B259BC" w:rsidRDefault="00B259BC">
      <w:pPr>
        <w:pStyle w:val="ConsPlusNormal"/>
        <w:spacing w:before="220"/>
        <w:ind w:firstLine="540"/>
        <w:jc w:val="both"/>
      </w:pPr>
      <w:r>
        <w:t xml:space="preserve">2. </w:t>
      </w:r>
      <w:hyperlink w:anchor="P109" w:history="1">
        <w:proofErr w:type="gramStart"/>
        <w:r>
          <w:rPr>
            <w:color w:val="0000FF"/>
          </w:rPr>
          <w:t>Отчет</w:t>
        </w:r>
      </w:hyperlink>
      <w:r>
        <w:t xml:space="preserve"> представляется ежемесячно в форме электронного документа посредством Единой интегрированной системы сбора и обработки информации (ЕИССОИ), являющейся частью государственной информационной системы обязательного медицинского страхования (ГИС ОМС) &lt;1&gt;, территориальным фондом обязательного медицинского страхования в Федеральный фонд обязательного медицинского страхования в срок до 10 числа месяца, следующего за отчетным, в соответствии с </w:t>
      </w:r>
      <w:hyperlink w:anchor="P135" w:history="1">
        <w:r>
          <w:rPr>
            <w:color w:val="0000FF"/>
          </w:rPr>
          <w:t>разделами I</w:t>
        </w:r>
      </w:hyperlink>
      <w:r>
        <w:t xml:space="preserve"> и </w:t>
      </w:r>
      <w:hyperlink w:anchor="P208" w:history="1">
        <w:r>
          <w:rPr>
            <w:color w:val="0000FF"/>
          </w:rPr>
          <w:t>II</w:t>
        </w:r>
      </w:hyperlink>
      <w:r>
        <w:t xml:space="preserve"> формы отчета, установленной настоящим приказом.</w:t>
      </w:r>
      <w:proofErr w:type="gramEnd"/>
    </w:p>
    <w:p w:rsidR="00B259BC" w:rsidRDefault="00B259BC">
      <w:pPr>
        <w:pStyle w:val="ConsPlusNormal"/>
        <w:spacing w:before="220"/>
        <w:ind w:firstLine="540"/>
        <w:jc w:val="both"/>
      </w:pPr>
      <w:r>
        <w:t>--------------------------------</w:t>
      </w:r>
    </w:p>
    <w:p w:rsidR="00B259BC" w:rsidRDefault="00B259BC">
      <w:pPr>
        <w:pStyle w:val="ConsPlusNormal"/>
        <w:spacing w:before="220"/>
        <w:ind w:firstLine="540"/>
        <w:jc w:val="both"/>
      </w:pPr>
      <w:r>
        <w:t xml:space="preserve">&lt;1&gt; </w:t>
      </w:r>
      <w:hyperlink r:id="rId9" w:history="1">
        <w:r>
          <w:rPr>
            <w:color w:val="0000FF"/>
          </w:rPr>
          <w:t>Правила</w:t>
        </w:r>
      </w:hyperlink>
      <w:r>
        <w:t xml:space="preserve"> функционирования государственной информационной системы обязательного медицинского страхования, утвержденные постановлением Правительства Российской Федерации от 11 июня 2021 г. N 901 (Собрание законодательства Российской Федерации, 2021, N 25, ст. 4814; 2022, N 12, ст. 1852).</w:t>
      </w:r>
    </w:p>
    <w:p w:rsidR="00B259BC" w:rsidRDefault="00B259BC">
      <w:pPr>
        <w:pStyle w:val="ConsPlusNormal"/>
        <w:jc w:val="both"/>
      </w:pPr>
    </w:p>
    <w:p w:rsidR="00B259BC" w:rsidRDefault="00B259BC">
      <w:pPr>
        <w:pStyle w:val="ConsPlusNormal"/>
        <w:ind w:firstLine="540"/>
        <w:jc w:val="both"/>
      </w:pPr>
      <w:r>
        <w:t xml:space="preserve">3. </w:t>
      </w:r>
      <w:hyperlink w:anchor="P135" w:history="1">
        <w:r>
          <w:rPr>
            <w:color w:val="0000FF"/>
          </w:rPr>
          <w:t>Раздел I</w:t>
        </w:r>
      </w:hyperlink>
      <w:r>
        <w:t xml:space="preserve"> "Сведения о численности врачей и среднего медицинского персонала" отчета заполняется территориальным фондом обязательного медицинского </w:t>
      </w:r>
      <w:proofErr w:type="gramStart"/>
      <w:r>
        <w:t>страхования</w:t>
      </w:r>
      <w:proofErr w:type="gramEnd"/>
      <w:r>
        <w:t xml:space="preserve"> нарастающим итогом с начала года в разрезе каждой медицинской организации, которой предоставлялись средства нормированного страхового запаса территориального фонда обязательного медицинского страхования, в следующем порядке:</w:t>
      </w:r>
    </w:p>
    <w:p w:rsidR="00B259BC" w:rsidRDefault="00B259BC">
      <w:pPr>
        <w:pStyle w:val="ConsPlusNormal"/>
        <w:spacing w:before="220"/>
        <w:ind w:firstLine="540"/>
        <w:jc w:val="both"/>
      </w:pPr>
      <w:r>
        <w:t xml:space="preserve">3.1. в </w:t>
      </w:r>
      <w:hyperlink w:anchor="P165" w:history="1">
        <w:r>
          <w:rPr>
            <w:color w:val="0000FF"/>
          </w:rPr>
          <w:t>графе 1</w:t>
        </w:r>
      </w:hyperlink>
      <w:r>
        <w:t xml:space="preserve"> отражается полное наименование медицинской организации согласно реестру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&lt;2&gt;;</w:t>
      </w:r>
    </w:p>
    <w:p w:rsidR="00B259BC" w:rsidRDefault="00B259BC">
      <w:pPr>
        <w:pStyle w:val="ConsPlusNormal"/>
        <w:spacing w:before="220"/>
        <w:ind w:firstLine="540"/>
        <w:jc w:val="both"/>
      </w:pPr>
      <w:r>
        <w:t>--------------------------------</w:t>
      </w:r>
    </w:p>
    <w:p w:rsidR="00B259BC" w:rsidRDefault="00B259BC">
      <w:pPr>
        <w:pStyle w:val="ConsPlusNormal"/>
        <w:spacing w:before="220"/>
        <w:ind w:firstLine="540"/>
        <w:jc w:val="both"/>
      </w:pPr>
      <w:r>
        <w:t xml:space="preserve">&lt;2&gt; </w:t>
      </w:r>
      <w:hyperlink r:id="rId10" w:history="1">
        <w:r>
          <w:rPr>
            <w:color w:val="0000FF"/>
          </w:rPr>
          <w:t>Часть 3 статьи 15</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w:t>
      </w:r>
    </w:p>
    <w:p w:rsidR="00B259BC" w:rsidRDefault="00B259BC">
      <w:pPr>
        <w:pStyle w:val="ConsPlusNormal"/>
        <w:jc w:val="both"/>
      </w:pPr>
    </w:p>
    <w:p w:rsidR="00B259BC" w:rsidRDefault="00B259BC">
      <w:pPr>
        <w:pStyle w:val="ConsPlusNormal"/>
        <w:ind w:firstLine="540"/>
        <w:jc w:val="both"/>
      </w:pPr>
      <w:r>
        <w:t xml:space="preserve">3.2. в </w:t>
      </w:r>
      <w:hyperlink w:anchor="P166" w:history="1">
        <w:r>
          <w:rPr>
            <w:color w:val="0000FF"/>
          </w:rPr>
          <w:t>графе 2</w:t>
        </w:r>
      </w:hyperlink>
      <w:r>
        <w:t xml:space="preserve"> отражается код медицинской организации в едином реестре медицинских организаций, осуществляющих деятельность в сфере обязательного медицинского страхования &lt;2&gt;;</w:t>
      </w:r>
    </w:p>
    <w:p w:rsidR="00B259BC" w:rsidRDefault="00B259BC">
      <w:pPr>
        <w:pStyle w:val="ConsPlusNormal"/>
        <w:spacing w:before="220"/>
        <w:ind w:firstLine="540"/>
        <w:jc w:val="both"/>
      </w:pPr>
      <w:r>
        <w:t xml:space="preserve">3.3. в </w:t>
      </w:r>
      <w:hyperlink w:anchor="P167" w:history="1">
        <w:r>
          <w:rPr>
            <w:color w:val="0000FF"/>
          </w:rPr>
          <w:t>графе 3</w:t>
        </w:r>
      </w:hyperlink>
      <w:r>
        <w:t xml:space="preserve"> отражается вид медицинской организации &lt;3&gt;;</w:t>
      </w:r>
    </w:p>
    <w:p w:rsidR="00B259BC" w:rsidRDefault="00B259BC">
      <w:pPr>
        <w:pStyle w:val="ConsPlusNormal"/>
        <w:spacing w:before="220"/>
        <w:ind w:firstLine="540"/>
        <w:jc w:val="both"/>
      </w:pPr>
      <w:r>
        <w:t>--------------------------------</w:t>
      </w:r>
    </w:p>
    <w:p w:rsidR="00B259BC" w:rsidRDefault="00B259BC">
      <w:pPr>
        <w:pStyle w:val="ConsPlusNormal"/>
        <w:spacing w:before="220"/>
        <w:ind w:firstLine="540"/>
        <w:jc w:val="both"/>
      </w:pPr>
      <w:proofErr w:type="gramStart"/>
      <w:r>
        <w:t xml:space="preserve">&lt;3&gt; </w:t>
      </w:r>
      <w:hyperlink r:id="rId11" w:history="1">
        <w:r>
          <w:rPr>
            <w:color w:val="0000FF"/>
          </w:rPr>
          <w:t>Приказ</w:t>
        </w:r>
      </w:hyperlink>
      <w:r>
        <w:t xml:space="preserve"> Министерства здравоохранения Российской Федерации от 5 февраля 2021 г. N 57н "Об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"Об обязательном медицинском страховании в Российской Федерации", и видов оказываемой ими медицинской</w:t>
      </w:r>
      <w:proofErr w:type="gramEnd"/>
      <w:r>
        <w:t xml:space="preserve"> помощи в целях предоставления указанных средств" (</w:t>
      </w:r>
      <w:proofErr w:type="gramStart"/>
      <w:r>
        <w:t>зарегистрирован</w:t>
      </w:r>
      <w:proofErr w:type="gramEnd"/>
      <w:r>
        <w:t xml:space="preserve"> Министерством юстиции Российской Федерации 10 февраля 2021 г., регистрационный N 62454).</w:t>
      </w:r>
    </w:p>
    <w:p w:rsidR="00B259BC" w:rsidRDefault="00B259BC">
      <w:pPr>
        <w:pStyle w:val="ConsPlusNormal"/>
        <w:jc w:val="both"/>
      </w:pPr>
    </w:p>
    <w:p w:rsidR="00B259BC" w:rsidRDefault="00B259BC">
      <w:pPr>
        <w:pStyle w:val="ConsPlusNormal"/>
        <w:ind w:firstLine="540"/>
        <w:jc w:val="both"/>
      </w:pPr>
      <w:r>
        <w:t xml:space="preserve">3.4. в </w:t>
      </w:r>
      <w:hyperlink w:anchor="P168" w:history="1">
        <w:r>
          <w:rPr>
            <w:color w:val="0000FF"/>
          </w:rPr>
          <w:t>графах 4</w:t>
        </w:r>
      </w:hyperlink>
      <w:r>
        <w:t xml:space="preserve">, </w:t>
      </w:r>
      <w:hyperlink w:anchor="P169" w:history="1">
        <w:r>
          <w:rPr>
            <w:color w:val="0000FF"/>
          </w:rPr>
          <w:t>5</w:t>
        </w:r>
      </w:hyperlink>
      <w:r>
        <w:t xml:space="preserve"> и </w:t>
      </w:r>
      <w:hyperlink w:anchor="P170" w:history="1">
        <w:r>
          <w:rPr>
            <w:color w:val="0000FF"/>
          </w:rPr>
          <w:t>6</w:t>
        </w:r>
      </w:hyperlink>
      <w:r>
        <w:t xml:space="preserve"> отражается численность медицинских работников, оказывающих медицинскую помощь, в том числе врачей и среднего медицинского персонала, по состоянию на 1 января текущего финансового года;</w:t>
      </w:r>
    </w:p>
    <w:p w:rsidR="00B259BC" w:rsidRDefault="00B259BC">
      <w:pPr>
        <w:pStyle w:val="ConsPlusNormal"/>
        <w:spacing w:before="220"/>
        <w:ind w:firstLine="540"/>
        <w:jc w:val="both"/>
      </w:pPr>
      <w:r>
        <w:t xml:space="preserve">3.5. в </w:t>
      </w:r>
      <w:hyperlink w:anchor="P171" w:history="1">
        <w:r>
          <w:rPr>
            <w:color w:val="0000FF"/>
          </w:rPr>
          <w:t>графах 7</w:t>
        </w:r>
      </w:hyperlink>
      <w:r>
        <w:t xml:space="preserve">, </w:t>
      </w:r>
      <w:hyperlink w:anchor="P172" w:history="1">
        <w:r>
          <w:rPr>
            <w:color w:val="0000FF"/>
          </w:rPr>
          <w:t>8</w:t>
        </w:r>
      </w:hyperlink>
      <w:r>
        <w:t xml:space="preserve"> и </w:t>
      </w:r>
      <w:hyperlink w:anchor="P173" w:history="1">
        <w:r>
          <w:rPr>
            <w:color w:val="0000FF"/>
          </w:rPr>
          <w:t>9</w:t>
        </w:r>
      </w:hyperlink>
      <w:r>
        <w:t xml:space="preserve"> отражается потребность на текущий финансовый год в медицинских работниках, в том числе врачах и среднем медицинском персонале, предоставленная органом исполнительной власти субъекта Российской Федерации в сфере охраны здоровья &lt;4&gt;;</w:t>
      </w:r>
    </w:p>
    <w:p w:rsidR="00B259BC" w:rsidRDefault="00B259BC">
      <w:pPr>
        <w:pStyle w:val="ConsPlusNormal"/>
        <w:spacing w:before="220"/>
        <w:ind w:firstLine="540"/>
        <w:jc w:val="both"/>
      </w:pPr>
      <w:r>
        <w:t>--------------------------------</w:t>
      </w:r>
    </w:p>
    <w:p w:rsidR="00B259BC" w:rsidRDefault="00B259BC">
      <w:pPr>
        <w:pStyle w:val="ConsPlusNormal"/>
        <w:spacing w:before="220"/>
        <w:ind w:firstLine="540"/>
        <w:jc w:val="both"/>
      </w:pPr>
      <w:proofErr w:type="gramStart"/>
      <w:r>
        <w:t xml:space="preserve">&lt;4&gt; </w:t>
      </w:r>
      <w:hyperlink r:id="rId12" w:history="1">
        <w:r>
          <w:rPr>
            <w:color w:val="0000FF"/>
          </w:rPr>
          <w:t>Пункт 5</w:t>
        </w:r>
      </w:hyperlink>
      <w:r>
        <w:t xml:space="preserve"> порядка формирования, условий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утвержденного приказом Министерства здравоохранения Российской Федерации от 22 февраля 2019 г. N 85н (зарегистрирован</w:t>
      </w:r>
      <w:proofErr w:type="gramEnd"/>
      <w:r>
        <w:t xml:space="preserve"> </w:t>
      </w:r>
      <w:proofErr w:type="gramStart"/>
      <w:r>
        <w:t xml:space="preserve">Министерством юстиции Российской Федерации 19 марта 2019 г., регистрационный N 54086), с изменениями, внесенными приказами Министерства здравоохранения Российской Федерации от 21 января 2020 г. N 39н (зарегистрирован Министерством юстиции Российской Федерации 19 февраля 2020 г., регистрационный N 57552), от 12 февраля 2021 г. N 71н (зарегистрирован Министерством юстиции Российской Федерации 11 </w:t>
      </w:r>
      <w:r>
        <w:lastRenderedPageBreak/>
        <w:t>марта 2021 г., регистрационный N 62713).</w:t>
      </w:r>
      <w:proofErr w:type="gramEnd"/>
    </w:p>
    <w:p w:rsidR="00B259BC" w:rsidRDefault="00B259BC">
      <w:pPr>
        <w:pStyle w:val="ConsPlusNormal"/>
        <w:jc w:val="both"/>
      </w:pPr>
    </w:p>
    <w:p w:rsidR="00B259BC" w:rsidRDefault="00B259BC">
      <w:pPr>
        <w:pStyle w:val="ConsPlusNormal"/>
        <w:ind w:firstLine="540"/>
        <w:jc w:val="both"/>
      </w:pPr>
      <w:r>
        <w:t xml:space="preserve">3.6. в </w:t>
      </w:r>
      <w:hyperlink w:anchor="P174" w:history="1">
        <w:r>
          <w:rPr>
            <w:color w:val="0000FF"/>
          </w:rPr>
          <w:t>графах 10</w:t>
        </w:r>
      </w:hyperlink>
      <w:r>
        <w:t xml:space="preserve">, </w:t>
      </w:r>
      <w:hyperlink w:anchor="P175" w:history="1">
        <w:r>
          <w:rPr>
            <w:color w:val="0000FF"/>
          </w:rPr>
          <w:t>11</w:t>
        </w:r>
      </w:hyperlink>
      <w:r>
        <w:t xml:space="preserve"> и </w:t>
      </w:r>
      <w:hyperlink w:anchor="P176" w:history="1">
        <w:r>
          <w:rPr>
            <w:color w:val="0000FF"/>
          </w:rPr>
          <w:t>12</w:t>
        </w:r>
      </w:hyperlink>
      <w:r>
        <w:t xml:space="preserve"> отражается численность медицинских работников, в том числе врачей и среднего медицинского персонала, принятых на работу в отчетном периоде на штатную должность в полном объеме (не менее одной ставки);</w:t>
      </w:r>
    </w:p>
    <w:p w:rsidR="00B259BC" w:rsidRDefault="00B259BC">
      <w:pPr>
        <w:pStyle w:val="ConsPlusNormal"/>
        <w:spacing w:before="220"/>
        <w:ind w:firstLine="540"/>
        <w:jc w:val="both"/>
      </w:pPr>
      <w:r>
        <w:t xml:space="preserve">3.7. в </w:t>
      </w:r>
      <w:hyperlink w:anchor="P177" w:history="1">
        <w:r>
          <w:rPr>
            <w:color w:val="0000FF"/>
          </w:rPr>
          <w:t>графах 13</w:t>
        </w:r>
      </w:hyperlink>
      <w:r>
        <w:t xml:space="preserve">, </w:t>
      </w:r>
      <w:hyperlink w:anchor="P178" w:history="1">
        <w:r>
          <w:rPr>
            <w:color w:val="0000FF"/>
          </w:rPr>
          <w:t>14</w:t>
        </w:r>
      </w:hyperlink>
      <w:r>
        <w:t xml:space="preserve"> и </w:t>
      </w:r>
      <w:hyperlink w:anchor="P179" w:history="1">
        <w:r>
          <w:rPr>
            <w:color w:val="0000FF"/>
          </w:rPr>
          <w:t>15</w:t>
        </w:r>
      </w:hyperlink>
      <w:r>
        <w:t xml:space="preserve"> отражается численность уволенных медицинских работников, в том числе врачей и среднего медицинского персонала в отчетном периоде;</w:t>
      </w:r>
    </w:p>
    <w:p w:rsidR="00B259BC" w:rsidRDefault="00B259BC">
      <w:pPr>
        <w:pStyle w:val="ConsPlusNormal"/>
        <w:spacing w:before="220"/>
        <w:ind w:firstLine="540"/>
        <w:jc w:val="both"/>
      </w:pPr>
      <w:r>
        <w:t xml:space="preserve">3.8. в </w:t>
      </w:r>
      <w:hyperlink w:anchor="P180" w:history="1">
        <w:r>
          <w:rPr>
            <w:color w:val="0000FF"/>
          </w:rPr>
          <w:t>графах 16</w:t>
        </w:r>
      </w:hyperlink>
      <w:r>
        <w:t xml:space="preserve">, </w:t>
      </w:r>
      <w:hyperlink w:anchor="P181" w:history="1">
        <w:r>
          <w:rPr>
            <w:color w:val="0000FF"/>
          </w:rPr>
          <w:t>17</w:t>
        </w:r>
      </w:hyperlink>
      <w:r>
        <w:t xml:space="preserve"> и </w:t>
      </w:r>
      <w:hyperlink w:anchor="P182" w:history="1">
        <w:r>
          <w:rPr>
            <w:color w:val="0000FF"/>
          </w:rPr>
          <w:t>18</w:t>
        </w:r>
      </w:hyperlink>
      <w:r>
        <w:t xml:space="preserve"> отражается численность медицинских работников, в том числе врачей и среднего медицинского персонала на последнее число отчетного периода;</w:t>
      </w:r>
    </w:p>
    <w:p w:rsidR="00B259BC" w:rsidRDefault="00B259BC">
      <w:pPr>
        <w:pStyle w:val="ConsPlusNormal"/>
        <w:spacing w:before="220"/>
        <w:ind w:firstLine="540"/>
        <w:jc w:val="both"/>
      </w:pPr>
      <w:proofErr w:type="gramStart"/>
      <w:r>
        <w:t xml:space="preserve">3.9. в </w:t>
      </w:r>
      <w:hyperlink w:anchor="P183" w:history="1">
        <w:r>
          <w:rPr>
            <w:color w:val="0000FF"/>
          </w:rPr>
          <w:t>графах 19</w:t>
        </w:r>
      </w:hyperlink>
      <w:r>
        <w:t xml:space="preserve">, </w:t>
      </w:r>
      <w:hyperlink w:anchor="P184" w:history="1">
        <w:r>
          <w:rPr>
            <w:color w:val="0000FF"/>
          </w:rPr>
          <w:t>20</w:t>
        </w:r>
      </w:hyperlink>
      <w:r>
        <w:t xml:space="preserve"> и </w:t>
      </w:r>
      <w:hyperlink w:anchor="P185" w:history="1">
        <w:r>
          <w:rPr>
            <w:color w:val="0000FF"/>
          </w:rPr>
          <w:t>21</w:t>
        </w:r>
      </w:hyperlink>
      <w:r>
        <w:t xml:space="preserve"> отражается отклонение численности медицинских работников (разница </w:t>
      </w:r>
      <w:hyperlink w:anchor="P180" w:history="1">
        <w:r>
          <w:rPr>
            <w:color w:val="0000FF"/>
          </w:rPr>
          <w:t>граф 16</w:t>
        </w:r>
      </w:hyperlink>
      <w:r>
        <w:t xml:space="preserve"> и </w:t>
      </w:r>
      <w:hyperlink w:anchor="P168" w:history="1">
        <w:r>
          <w:rPr>
            <w:color w:val="0000FF"/>
          </w:rPr>
          <w:t>4</w:t>
        </w:r>
      </w:hyperlink>
      <w:r>
        <w:t xml:space="preserve">), в том числе врачей (разница </w:t>
      </w:r>
      <w:hyperlink w:anchor="P181" w:history="1">
        <w:r>
          <w:rPr>
            <w:color w:val="0000FF"/>
          </w:rPr>
          <w:t>граф 17</w:t>
        </w:r>
      </w:hyperlink>
      <w:r>
        <w:t xml:space="preserve"> и </w:t>
      </w:r>
      <w:hyperlink w:anchor="P169" w:history="1">
        <w:r>
          <w:rPr>
            <w:color w:val="0000FF"/>
          </w:rPr>
          <w:t>5</w:t>
        </w:r>
      </w:hyperlink>
      <w:r>
        <w:t xml:space="preserve">) и среднего медицинского персонала (разница </w:t>
      </w:r>
      <w:hyperlink w:anchor="P182" w:history="1">
        <w:r>
          <w:rPr>
            <w:color w:val="0000FF"/>
          </w:rPr>
          <w:t>граф 18</w:t>
        </w:r>
      </w:hyperlink>
      <w:r>
        <w:t xml:space="preserve"> и </w:t>
      </w:r>
      <w:hyperlink w:anchor="P170" w:history="1">
        <w:r>
          <w:rPr>
            <w:color w:val="0000FF"/>
          </w:rPr>
          <w:t>6</w:t>
        </w:r>
      </w:hyperlink>
      <w:r>
        <w:t>) на конец отчетного периода от численности медицинских работников, в том числе врачей и среднего медицинского персонала на 1 января текущего финансового года.</w:t>
      </w:r>
      <w:proofErr w:type="gramEnd"/>
      <w:r>
        <w:t xml:space="preserve"> Отрицательная разница отражается со знаком "минус".</w:t>
      </w:r>
    </w:p>
    <w:p w:rsidR="00B259BC" w:rsidRDefault="00B259BC">
      <w:pPr>
        <w:pStyle w:val="ConsPlusNormal"/>
        <w:spacing w:before="220"/>
        <w:ind w:firstLine="540"/>
        <w:jc w:val="both"/>
      </w:pPr>
      <w:r>
        <w:t xml:space="preserve">4. </w:t>
      </w:r>
      <w:proofErr w:type="gramStart"/>
      <w:r>
        <w:t xml:space="preserve">Данные </w:t>
      </w:r>
      <w:hyperlink w:anchor="P168" w:history="1">
        <w:r>
          <w:rPr>
            <w:color w:val="0000FF"/>
          </w:rPr>
          <w:t>граф 4</w:t>
        </w:r>
      </w:hyperlink>
      <w:r>
        <w:t xml:space="preserve"> - </w:t>
      </w:r>
      <w:hyperlink w:anchor="P170" w:history="1">
        <w:r>
          <w:rPr>
            <w:color w:val="0000FF"/>
          </w:rPr>
          <w:t>6</w:t>
        </w:r>
      </w:hyperlink>
      <w:r>
        <w:t xml:space="preserve">, </w:t>
      </w:r>
      <w:hyperlink w:anchor="P174" w:history="1">
        <w:r>
          <w:rPr>
            <w:color w:val="0000FF"/>
          </w:rPr>
          <w:t>10</w:t>
        </w:r>
      </w:hyperlink>
      <w:r>
        <w:t xml:space="preserve"> - </w:t>
      </w:r>
      <w:hyperlink w:anchor="P185" w:history="1">
        <w:r>
          <w:rPr>
            <w:color w:val="0000FF"/>
          </w:rPr>
          <w:t>21</w:t>
        </w:r>
      </w:hyperlink>
      <w:r>
        <w:t xml:space="preserve"> раздела I отчета по каждой медицинской организации должны соответствовать </w:t>
      </w:r>
      <w:hyperlink w:anchor="P165" w:history="1">
        <w:r>
          <w:rPr>
            <w:color w:val="0000FF"/>
          </w:rPr>
          <w:t>графам 1</w:t>
        </w:r>
      </w:hyperlink>
      <w:r>
        <w:t xml:space="preserve"> - </w:t>
      </w:r>
      <w:hyperlink w:anchor="P174" w:history="1">
        <w:r>
          <w:rPr>
            <w:color w:val="0000FF"/>
          </w:rPr>
          <w:t>10</w:t>
        </w:r>
      </w:hyperlink>
      <w:r>
        <w:t xml:space="preserve"> заявки на предоставление средств нормированного страхового запаса из бюджета территориального фонда обязательного медицинского страхования медицинской организации, оказывающей медицинскую помощь по видам, определяемым в соответствии с </w:t>
      </w:r>
      <w:hyperlink r:id="rId13" w:history="1">
        <w:r>
          <w:rPr>
            <w:color w:val="0000FF"/>
          </w:rPr>
          <w:t>частью 6.6 статьи 26</w:t>
        </w:r>
      </w:hyperlink>
      <w:r>
        <w:t xml:space="preserve"> Федерального закона от 29 ноября 2010 г. N 326-ФЗ "Об обязательном медицинском страховании</w:t>
      </w:r>
      <w:proofErr w:type="gramEnd"/>
      <w:r>
        <w:t xml:space="preserve"> в Российской Федерации" &lt;5&gt;, для софинансирования расходов медицинской организации на оплату труда врачей и среднего медицинского персонала &lt;6&gt; (далее - заявка).</w:t>
      </w:r>
    </w:p>
    <w:p w:rsidR="00B259BC" w:rsidRDefault="00B259BC">
      <w:pPr>
        <w:pStyle w:val="ConsPlusNormal"/>
        <w:spacing w:before="220"/>
        <w:ind w:firstLine="540"/>
        <w:jc w:val="both"/>
      </w:pPr>
      <w:r>
        <w:t>--------------------------------</w:t>
      </w:r>
    </w:p>
    <w:p w:rsidR="00B259BC" w:rsidRDefault="00B259BC">
      <w:pPr>
        <w:pStyle w:val="ConsPlusNormal"/>
        <w:spacing w:before="220"/>
        <w:ind w:firstLine="540"/>
        <w:jc w:val="both"/>
      </w:pPr>
      <w:r>
        <w:t>&lt;5&gt; Собрание законодательства Российской Федерации, 2010, N 49, ст. 6422; 2020, N 50, ст. 8075.</w:t>
      </w:r>
    </w:p>
    <w:p w:rsidR="00B259BC" w:rsidRDefault="00B259BC">
      <w:pPr>
        <w:pStyle w:val="ConsPlusNormal"/>
        <w:spacing w:before="220"/>
        <w:ind w:firstLine="540"/>
        <w:jc w:val="both"/>
      </w:pPr>
      <w:proofErr w:type="gramStart"/>
      <w:r>
        <w:t xml:space="preserve">&lt;6&gt; </w:t>
      </w:r>
      <w:hyperlink r:id="rId14" w:history="1">
        <w:r>
          <w:rPr>
            <w:color w:val="0000FF"/>
          </w:rPr>
          <w:t>Приложение</w:t>
        </w:r>
      </w:hyperlink>
      <w:r>
        <w:t xml:space="preserve"> к Типовой форме соглашения о предоставлении медицинским организациям, указанным в части 6.6 статьи 26 Федерального закона "Об обязательном медицинском страховании в Российской Федерации",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утвержденной приказом Министерства здравоохранения Российской Федерации от 22 февраля 2019 г. N 86н</w:t>
      </w:r>
      <w:proofErr w:type="gramEnd"/>
      <w:r>
        <w:t xml:space="preserve"> (зарегистрирован Министерством юстиции Российской Федерации 19 марта 2019 г., регистрационный N 54087) с изменениями, внесенными приказом Министерства здравоохранения Российской Федерации от 12 февраля 2021 г. N 71н (зарегистрирован Министерством юстиции Российской Федерации 11 марта 2021 г., регистрационный N 62713).</w:t>
      </w:r>
    </w:p>
    <w:p w:rsidR="00B259BC" w:rsidRDefault="00B259BC">
      <w:pPr>
        <w:pStyle w:val="ConsPlusNormal"/>
        <w:jc w:val="both"/>
      </w:pPr>
    </w:p>
    <w:p w:rsidR="00B259BC" w:rsidRDefault="00B259BC">
      <w:pPr>
        <w:pStyle w:val="ConsPlusNormal"/>
        <w:ind w:firstLine="540"/>
        <w:jc w:val="both"/>
      </w:pPr>
      <w:r>
        <w:t xml:space="preserve">5. </w:t>
      </w:r>
      <w:hyperlink w:anchor="P208" w:history="1">
        <w:r>
          <w:rPr>
            <w:color w:val="0000FF"/>
          </w:rPr>
          <w:t>Раздел II</w:t>
        </w:r>
      </w:hyperlink>
      <w:r>
        <w:t xml:space="preserve"> "Движение денежных средств" отчета заполняется территориальным фондом обязательного медицинского страхования за отчетный период и нарастающим итогом с начала года в рублях (с точностью до второго знака после запятой) в следующем порядке:</w:t>
      </w:r>
    </w:p>
    <w:p w:rsidR="00B259BC" w:rsidRDefault="00B259BC">
      <w:pPr>
        <w:pStyle w:val="ConsPlusNormal"/>
        <w:spacing w:before="220"/>
        <w:ind w:firstLine="540"/>
        <w:jc w:val="both"/>
      </w:pPr>
      <w:proofErr w:type="gramStart"/>
      <w:r>
        <w:t xml:space="preserve">5.1. в </w:t>
      </w:r>
      <w:hyperlink w:anchor="P220" w:history="1">
        <w:r>
          <w:rPr>
            <w:color w:val="0000FF"/>
          </w:rPr>
          <w:t>строках 100</w:t>
        </w:r>
      </w:hyperlink>
      <w:r>
        <w:t xml:space="preserve"> и </w:t>
      </w:r>
      <w:hyperlink w:anchor="P264" w:history="1">
        <w:r>
          <w:rPr>
            <w:color w:val="0000FF"/>
          </w:rPr>
          <w:t>150</w:t>
        </w:r>
      </w:hyperlink>
      <w:r>
        <w:t xml:space="preserve"> отражается остаток средств нормированного страхового запаса территориального фонда обязательного медицинского страхования в бюджете территориального фонда обязательного медицинского страхования соответственно на начало и конец отчетного периода;</w:t>
      </w:r>
      <w:proofErr w:type="gramEnd"/>
    </w:p>
    <w:p w:rsidR="00B259BC" w:rsidRDefault="00B259BC">
      <w:pPr>
        <w:pStyle w:val="ConsPlusNormal"/>
        <w:spacing w:before="220"/>
        <w:ind w:firstLine="540"/>
        <w:jc w:val="both"/>
      </w:pPr>
      <w:r>
        <w:t xml:space="preserve">5.2. в </w:t>
      </w:r>
      <w:hyperlink w:anchor="P224" w:history="1">
        <w:r>
          <w:rPr>
            <w:color w:val="0000FF"/>
          </w:rPr>
          <w:t>строке 110</w:t>
        </w:r>
      </w:hyperlink>
      <w:r>
        <w:t xml:space="preserve"> отражается общая сумма средств, поступивших в бюджет территориального фонда обязательного медицинского страхования в отчетном периоде, в том числе:</w:t>
      </w:r>
    </w:p>
    <w:p w:rsidR="00B259BC" w:rsidRDefault="00B259BC">
      <w:pPr>
        <w:pStyle w:val="ConsPlusNormal"/>
        <w:spacing w:before="220"/>
        <w:ind w:firstLine="540"/>
        <w:jc w:val="both"/>
      </w:pPr>
      <w:r>
        <w:t xml:space="preserve">5.2.1. в </w:t>
      </w:r>
      <w:hyperlink w:anchor="P228" w:history="1">
        <w:r>
          <w:rPr>
            <w:color w:val="0000FF"/>
          </w:rPr>
          <w:t>строке 111</w:t>
        </w:r>
      </w:hyperlink>
      <w:r>
        <w:t xml:space="preserve"> - объем иных межбюджетных трансфертов из бюджета Федерального </w:t>
      </w:r>
      <w:r>
        <w:lastRenderedPageBreak/>
        <w:t>фонда обязательного медицинского страхования;</w:t>
      </w:r>
    </w:p>
    <w:p w:rsidR="00B259BC" w:rsidRDefault="00B259BC">
      <w:pPr>
        <w:pStyle w:val="ConsPlusNormal"/>
        <w:spacing w:before="220"/>
        <w:ind w:firstLine="540"/>
        <w:jc w:val="both"/>
      </w:pPr>
      <w:r>
        <w:t xml:space="preserve">5.2.2. в </w:t>
      </w:r>
      <w:hyperlink w:anchor="P232" w:history="1">
        <w:r>
          <w:rPr>
            <w:color w:val="0000FF"/>
          </w:rPr>
          <w:t>строке 112</w:t>
        </w:r>
      </w:hyperlink>
      <w:r>
        <w:t xml:space="preserve"> - сумма возвращенных медицинскими организациями средств нормированного страхового запаса территориального фонда обязательного медицинского страхования, в том числе:</w:t>
      </w:r>
    </w:p>
    <w:p w:rsidR="00B259BC" w:rsidRDefault="00B259BC">
      <w:pPr>
        <w:pStyle w:val="ConsPlusNormal"/>
        <w:spacing w:before="220"/>
        <w:ind w:firstLine="540"/>
        <w:jc w:val="both"/>
      </w:pPr>
      <w:r>
        <w:t xml:space="preserve">5.2.3. в </w:t>
      </w:r>
      <w:hyperlink w:anchor="P236" w:history="1">
        <w:r>
          <w:rPr>
            <w:color w:val="0000FF"/>
          </w:rPr>
          <w:t>строке 113</w:t>
        </w:r>
      </w:hyperlink>
      <w:r>
        <w:t xml:space="preserve"> - сумма возвращенных медицинскими организациями средств нормированного страхового запаса территориального фонда обязательного медицинского страхования, использованных не по целевому назначению за отчетные периоды прошлых лет;</w:t>
      </w:r>
    </w:p>
    <w:p w:rsidR="00B259BC" w:rsidRDefault="00B259BC">
      <w:pPr>
        <w:pStyle w:val="ConsPlusNormal"/>
        <w:spacing w:before="220"/>
        <w:ind w:firstLine="540"/>
        <w:jc w:val="both"/>
      </w:pPr>
      <w:r>
        <w:t xml:space="preserve">5.3. в </w:t>
      </w:r>
      <w:hyperlink w:anchor="P240" w:history="1">
        <w:r>
          <w:rPr>
            <w:color w:val="0000FF"/>
          </w:rPr>
          <w:t>строке 120</w:t>
        </w:r>
      </w:hyperlink>
      <w:r>
        <w:t xml:space="preserve"> отражается сумма средств, направленных на формирование нормированного страхового запаса территориального фонда обязательного медицинского страхования;</w:t>
      </w:r>
    </w:p>
    <w:p w:rsidR="00B259BC" w:rsidRDefault="00B259BC">
      <w:pPr>
        <w:pStyle w:val="ConsPlusNormal"/>
        <w:spacing w:before="220"/>
        <w:ind w:firstLine="540"/>
        <w:jc w:val="both"/>
      </w:pPr>
      <w:r>
        <w:t xml:space="preserve">5.4. </w:t>
      </w:r>
      <w:hyperlink w:anchor="P244" w:history="1">
        <w:r>
          <w:rPr>
            <w:color w:val="0000FF"/>
          </w:rPr>
          <w:t>строки 130</w:t>
        </w:r>
      </w:hyperlink>
      <w:r>
        <w:t xml:space="preserve">, </w:t>
      </w:r>
      <w:hyperlink w:anchor="P248" w:history="1">
        <w:r>
          <w:rPr>
            <w:color w:val="0000FF"/>
          </w:rPr>
          <w:t>131</w:t>
        </w:r>
      </w:hyperlink>
      <w:r>
        <w:t xml:space="preserve">, </w:t>
      </w:r>
      <w:hyperlink w:anchor="P252" w:history="1">
        <w:r>
          <w:rPr>
            <w:color w:val="0000FF"/>
          </w:rPr>
          <w:t>132</w:t>
        </w:r>
      </w:hyperlink>
      <w:r>
        <w:t xml:space="preserve"> заполняются территориальным фондом обязательного медицинского страхования в разрезе каждой медицинской организации, которой предоставлялись средства нормированного страхового запаса территориального фонда обязательного медицинского страхования, в следующем порядке:</w:t>
      </w:r>
    </w:p>
    <w:p w:rsidR="00B259BC" w:rsidRDefault="00B259BC">
      <w:pPr>
        <w:pStyle w:val="ConsPlusNormal"/>
        <w:spacing w:before="220"/>
        <w:ind w:firstLine="540"/>
        <w:jc w:val="both"/>
      </w:pPr>
      <w:r>
        <w:t xml:space="preserve">5.4.1. в </w:t>
      </w:r>
      <w:hyperlink w:anchor="P244" w:history="1">
        <w:r>
          <w:rPr>
            <w:color w:val="0000FF"/>
          </w:rPr>
          <w:t>строке 130</w:t>
        </w:r>
      </w:hyperlink>
      <w:r>
        <w:t xml:space="preserve"> отражается общая сумма средств нормированного страхового запаса, направленных из бюджета территориального фонда обязательного медицинского страхования в медицинские организации на оплату труда медицинских работников, в том числе:</w:t>
      </w:r>
    </w:p>
    <w:p w:rsidR="00B259BC" w:rsidRDefault="00B259BC">
      <w:pPr>
        <w:pStyle w:val="ConsPlusNormal"/>
        <w:spacing w:before="220"/>
        <w:ind w:firstLine="540"/>
        <w:jc w:val="both"/>
      </w:pPr>
      <w:r>
        <w:t xml:space="preserve">5.4.2. в </w:t>
      </w:r>
      <w:hyperlink w:anchor="P248" w:history="1">
        <w:r>
          <w:rPr>
            <w:color w:val="0000FF"/>
          </w:rPr>
          <w:t>строке 131</w:t>
        </w:r>
      </w:hyperlink>
      <w:r>
        <w:t xml:space="preserve"> - сумма средств нормированного страхового запаса территориального фонда обязательного медицинского страхования, направленная в медицинские организации на оплату труда врачей;</w:t>
      </w:r>
    </w:p>
    <w:p w:rsidR="00B259BC" w:rsidRDefault="00B259BC">
      <w:pPr>
        <w:pStyle w:val="ConsPlusNormal"/>
        <w:spacing w:before="220"/>
        <w:ind w:firstLine="540"/>
        <w:jc w:val="both"/>
      </w:pPr>
      <w:r>
        <w:t xml:space="preserve">5.4.3. в </w:t>
      </w:r>
      <w:hyperlink w:anchor="P252" w:history="1">
        <w:r>
          <w:rPr>
            <w:color w:val="0000FF"/>
          </w:rPr>
          <w:t>строке 132</w:t>
        </w:r>
      </w:hyperlink>
      <w:r>
        <w:t xml:space="preserve"> - сумма средств нормированного страхового запаса территориального фонда обязательного медицинского страхования, направленная в медицинские организации на оплату труда среднего медицинского персонала;</w:t>
      </w:r>
    </w:p>
    <w:p w:rsidR="00B259BC" w:rsidRDefault="00B259BC">
      <w:pPr>
        <w:pStyle w:val="ConsPlusNormal"/>
        <w:spacing w:before="220"/>
        <w:ind w:firstLine="540"/>
        <w:jc w:val="both"/>
      </w:pPr>
      <w:r>
        <w:t xml:space="preserve">5.4.4. данные </w:t>
      </w:r>
      <w:hyperlink w:anchor="P244" w:history="1">
        <w:r>
          <w:rPr>
            <w:color w:val="0000FF"/>
          </w:rPr>
          <w:t>строк 130</w:t>
        </w:r>
      </w:hyperlink>
      <w:r>
        <w:t xml:space="preserve">, </w:t>
      </w:r>
      <w:hyperlink w:anchor="P248" w:history="1">
        <w:r>
          <w:rPr>
            <w:color w:val="0000FF"/>
          </w:rPr>
          <w:t>131</w:t>
        </w:r>
      </w:hyperlink>
      <w:r>
        <w:t xml:space="preserve">, </w:t>
      </w:r>
      <w:hyperlink w:anchor="P252" w:history="1">
        <w:r>
          <w:rPr>
            <w:color w:val="0000FF"/>
          </w:rPr>
          <w:t>132</w:t>
        </w:r>
      </w:hyperlink>
      <w:r>
        <w:t xml:space="preserve"> по каждой медицинской организации должны соответствовать </w:t>
      </w:r>
      <w:hyperlink w:anchor="P175" w:history="1">
        <w:r>
          <w:rPr>
            <w:color w:val="0000FF"/>
          </w:rPr>
          <w:t>графам 11</w:t>
        </w:r>
      </w:hyperlink>
      <w:r>
        <w:t xml:space="preserve"> - </w:t>
      </w:r>
      <w:hyperlink w:anchor="P177" w:history="1">
        <w:r>
          <w:rPr>
            <w:color w:val="0000FF"/>
          </w:rPr>
          <w:t>13</w:t>
        </w:r>
      </w:hyperlink>
      <w:r>
        <w:t xml:space="preserve"> заявки;</w:t>
      </w:r>
    </w:p>
    <w:p w:rsidR="00B259BC" w:rsidRDefault="00B259BC">
      <w:pPr>
        <w:pStyle w:val="ConsPlusNormal"/>
        <w:spacing w:before="220"/>
        <w:ind w:firstLine="540"/>
        <w:jc w:val="both"/>
      </w:pPr>
      <w:r>
        <w:t xml:space="preserve">5.5. в </w:t>
      </w:r>
      <w:hyperlink w:anchor="P256" w:history="1">
        <w:r>
          <w:rPr>
            <w:color w:val="0000FF"/>
          </w:rPr>
          <w:t>строке 140</w:t>
        </w:r>
      </w:hyperlink>
      <w:r>
        <w:t xml:space="preserve"> отражается общая сумма средств нормированного страхового запаса территориального фонда обязательного медицинского страхования, возвращенная территориальным фондом обязательного медицинского страхования в бюджет Федерального фонда обязательного медицинского страхования, в том числе:</w:t>
      </w:r>
    </w:p>
    <w:p w:rsidR="00B259BC" w:rsidRDefault="00B259BC">
      <w:pPr>
        <w:pStyle w:val="ConsPlusNormal"/>
        <w:spacing w:before="220"/>
        <w:ind w:firstLine="540"/>
        <w:jc w:val="both"/>
      </w:pPr>
      <w:r>
        <w:t xml:space="preserve">5.5.1. в </w:t>
      </w:r>
      <w:hyperlink w:anchor="P260" w:history="1">
        <w:r>
          <w:rPr>
            <w:color w:val="0000FF"/>
          </w:rPr>
          <w:t>строке 141</w:t>
        </w:r>
      </w:hyperlink>
      <w:r>
        <w:t xml:space="preserve"> </w:t>
      </w:r>
      <w:proofErr w:type="gramStart"/>
      <w:r>
        <w:t>использованная</w:t>
      </w:r>
      <w:proofErr w:type="gramEnd"/>
      <w:r>
        <w:t xml:space="preserve"> не по целевому назначению за отчетные периоды прошлых лет.</w:t>
      </w:r>
    </w:p>
    <w:p w:rsidR="00B259BC" w:rsidRDefault="00B259BC">
      <w:pPr>
        <w:pStyle w:val="ConsPlusNormal"/>
        <w:spacing w:before="220"/>
        <w:ind w:firstLine="540"/>
        <w:jc w:val="both"/>
      </w:pPr>
      <w:r>
        <w:t xml:space="preserve">6. </w:t>
      </w:r>
      <w:hyperlink w:anchor="P109" w:history="1">
        <w:r>
          <w:rPr>
            <w:color w:val="0000FF"/>
          </w:rPr>
          <w:t>Отчет</w:t>
        </w:r>
      </w:hyperlink>
      <w:r>
        <w:t xml:space="preserve"> подписывается усиленной квалифицированной электронной подписью руководителя территориального фонда обязательного медицинского страхования или уполномоченного им лица территориального фонда обязательного медицинского страхования.</w:t>
      </w:r>
    </w:p>
    <w:p w:rsidR="00B259BC" w:rsidRDefault="00B259BC">
      <w:pPr>
        <w:pStyle w:val="ConsPlusNormal"/>
        <w:jc w:val="both"/>
      </w:pPr>
    </w:p>
    <w:p w:rsidR="00B259BC" w:rsidRDefault="00B259BC">
      <w:pPr>
        <w:pStyle w:val="ConsPlusNormal"/>
        <w:jc w:val="both"/>
      </w:pPr>
    </w:p>
    <w:p w:rsidR="00B259BC" w:rsidRDefault="00B259BC">
      <w:pPr>
        <w:pStyle w:val="ConsPlusNormal"/>
        <w:jc w:val="both"/>
      </w:pPr>
    </w:p>
    <w:p w:rsidR="00B259BC" w:rsidRDefault="00B259BC">
      <w:pPr>
        <w:pStyle w:val="ConsPlusNormal"/>
        <w:jc w:val="both"/>
      </w:pPr>
    </w:p>
    <w:p w:rsidR="00B259BC" w:rsidRDefault="00B259BC">
      <w:pPr>
        <w:pStyle w:val="ConsPlusNormal"/>
        <w:jc w:val="both"/>
      </w:pPr>
    </w:p>
    <w:p w:rsidR="00B259BC" w:rsidRDefault="00B259BC">
      <w:pPr>
        <w:pStyle w:val="ConsPlusNormal"/>
        <w:jc w:val="right"/>
        <w:outlineLvl w:val="0"/>
      </w:pPr>
      <w:r>
        <w:t>Приложение N 2</w:t>
      </w:r>
    </w:p>
    <w:p w:rsidR="00B259BC" w:rsidRDefault="00B259BC">
      <w:pPr>
        <w:pStyle w:val="ConsPlusNormal"/>
        <w:jc w:val="right"/>
      </w:pPr>
      <w:r>
        <w:t>к приказу Федерального фонда</w:t>
      </w:r>
    </w:p>
    <w:p w:rsidR="00B259BC" w:rsidRDefault="00B259BC">
      <w:pPr>
        <w:pStyle w:val="ConsPlusNormal"/>
        <w:jc w:val="right"/>
      </w:pPr>
      <w:r>
        <w:t>обязательного медицинского страхования</w:t>
      </w:r>
    </w:p>
    <w:p w:rsidR="00B259BC" w:rsidRDefault="00B259BC">
      <w:pPr>
        <w:pStyle w:val="ConsPlusNormal"/>
        <w:jc w:val="right"/>
      </w:pPr>
      <w:r>
        <w:t>от 12 мая 2022 г. N 47н</w:t>
      </w:r>
    </w:p>
    <w:p w:rsidR="00B259BC" w:rsidRDefault="00B259BC">
      <w:pPr>
        <w:pStyle w:val="ConsPlusNormal"/>
        <w:jc w:val="both"/>
      </w:pPr>
    </w:p>
    <w:p w:rsidR="00B259BC" w:rsidRDefault="00B259BC">
      <w:pPr>
        <w:pStyle w:val="ConsPlusNormal"/>
        <w:jc w:val="right"/>
      </w:pPr>
      <w:r>
        <w:t>Форма</w:t>
      </w:r>
    </w:p>
    <w:p w:rsidR="00B259BC" w:rsidRDefault="00B259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59BC">
        <w:tc>
          <w:tcPr>
            <w:tcW w:w="9071" w:type="dxa"/>
            <w:tcBorders>
              <w:top w:val="nil"/>
              <w:left w:val="nil"/>
              <w:bottom w:val="nil"/>
              <w:right w:val="nil"/>
            </w:tcBorders>
          </w:tcPr>
          <w:p w:rsidR="00B259BC" w:rsidRDefault="00B259BC">
            <w:pPr>
              <w:pStyle w:val="ConsPlusNormal"/>
              <w:jc w:val="center"/>
            </w:pPr>
            <w:bookmarkStart w:id="1" w:name="P109"/>
            <w:bookmarkEnd w:id="1"/>
            <w:r>
              <w:t>Отчет</w:t>
            </w:r>
          </w:p>
          <w:p w:rsidR="00B259BC" w:rsidRDefault="00B259BC">
            <w:pPr>
              <w:pStyle w:val="ConsPlusNormal"/>
              <w:jc w:val="center"/>
            </w:pPr>
            <w:proofErr w:type="gramStart"/>
            <w:r>
              <w:t xml:space="preserve">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цели, указанные в </w:t>
            </w:r>
            <w:hyperlink r:id="rId15" w:history="1">
              <w:r>
                <w:rPr>
                  <w:color w:val="0000FF"/>
                </w:rPr>
                <w:t>пункте 4 части 6 статьи 26</w:t>
              </w:r>
            </w:hyperlink>
            <w:r>
              <w:t xml:space="preserve"> Федерального закона "Об обязательном медицинском страховании в Российской Федерации"</w:t>
            </w:r>
            <w:proofErr w:type="gramEnd"/>
          </w:p>
        </w:tc>
      </w:tr>
      <w:tr w:rsidR="00B259BC">
        <w:tc>
          <w:tcPr>
            <w:tcW w:w="9071" w:type="dxa"/>
            <w:tcBorders>
              <w:top w:val="nil"/>
              <w:left w:val="nil"/>
              <w:bottom w:val="nil"/>
              <w:right w:val="nil"/>
            </w:tcBorders>
          </w:tcPr>
          <w:p w:rsidR="00B259BC" w:rsidRDefault="00B259BC">
            <w:pPr>
              <w:pStyle w:val="ConsPlusNonformat"/>
              <w:jc w:val="both"/>
            </w:pPr>
            <w:r>
              <w:t xml:space="preserve">                   за _____________ 20__ года</w:t>
            </w:r>
          </w:p>
          <w:p w:rsidR="00B259BC" w:rsidRDefault="00B259BC">
            <w:pPr>
              <w:pStyle w:val="ConsPlusNonformat"/>
              <w:jc w:val="both"/>
            </w:pPr>
            <w:r>
              <w:t xml:space="preserve">                         (месяц)</w:t>
            </w:r>
          </w:p>
        </w:tc>
      </w:tr>
    </w:tbl>
    <w:p w:rsidR="00B259BC" w:rsidRDefault="00B259B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587"/>
        <w:gridCol w:w="1382"/>
        <w:gridCol w:w="1037"/>
      </w:tblGrid>
      <w:tr w:rsidR="00B259BC">
        <w:tc>
          <w:tcPr>
            <w:tcW w:w="5046" w:type="dxa"/>
            <w:tcBorders>
              <w:top w:val="nil"/>
              <w:left w:val="nil"/>
              <w:bottom w:val="nil"/>
              <w:right w:val="nil"/>
            </w:tcBorders>
          </w:tcPr>
          <w:p w:rsidR="00B259BC" w:rsidRDefault="00B259BC">
            <w:pPr>
              <w:pStyle w:val="ConsPlusNormal"/>
            </w:pPr>
          </w:p>
        </w:tc>
        <w:tc>
          <w:tcPr>
            <w:tcW w:w="1587" w:type="dxa"/>
            <w:tcBorders>
              <w:top w:val="nil"/>
              <w:left w:val="nil"/>
              <w:bottom w:val="nil"/>
              <w:right w:val="nil"/>
            </w:tcBorders>
          </w:tcPr>
          <w:p w:rsidR="00B259BC" w:rsidRDefault="00B259BC">
            <w:pPr>
              <w:pStyle w:val="ConsPlusNormal"/>
            </w:pPr>
          </w:p>
        </w:tc>
        <w:tc>
          <w:tcPr>
            <w:tcW w:w="1382" w:type="dxa"/>
            <w:tcBorders>
              <w:top w:val="nil"/>
              <w:left w:val="nil"/>
              <w:bottom w:val="nil"/>
              <w:right w:val="single" w:sz="4" w:space="0" w:color="auto"/>
            </w:tcBorders>
          </w:tcPr>
          <w:p w:rsidR="00B259BC" w:rsidRDefault="00B259BC">
            <w:pPr>
              <w:pStyle w:val="ConsPlusNormal"/>
            </w:pPr>
          </w:p>
        </w:tc>
        <w:tc>
          <w:tcPr>
            <w:tcW w:w="1037" w:type="dxa"/>
            <w:tcBorders>
              <w:top w:val="single" w:sz="4" w:space="0" w:color="auto"/>
              <w:left w:val="single" w:sz="4" w:space="0" w:color="auto"/>
              <w:bottom w:val="single" w:sz="4" w:space="0" w:color="auto"/>
              <w:right w:val="single" w:sz="4" w:space="0" w:color="auto"/>
            </w:tcBorders>
          </w:tcPr>
          <w:p w:rsidR="00B259BC" w:rsidRDefault="00B259BC">
            <w:pPr>
              <w:pStyle w:val="ConsPlusNormal"/>
              <w:jc w:val="center"/>
            </w:pPr>
            <w:r>
              <w:t>КОД</w:t>
            </w:r>
          </w:p>
        </w:tc>
      </w:tr>
      <w:tr w:rsidR="00B259BC">
        <w:tc>
          <w:tcPr>
            <w:tcW w:w="5046" w:type="dxa"/>
            <w:tcBorders>
              <w:top w:val="nil"/>
              <w:left w:val="nil"/>
              <w:bottom w:val="nil"/>
              <w:right w:val="nil"/>
            </w:tcBorders>
          </w:tcPr>
          <w:p w:rsidR="00B259BC" w:rsidRDefault="00B259BC">
            <w:pPr>
              <w:pStyle w:val="ConsPlusNormal"/>
            </w:pPr>
            <w:r>
              <w:t>Наименование территориального фонда обязательного медицинского страхования:</w:t>
            </w:r>
          </w:p>
        </w:tc>
        <w:tc>
          <w:tcPr>
            <w:tcW w:w="1587" w:type="dxa"/>
            <w:tcBorders>
              <w:top w:val="nil"/>
              <w:left w:val="nil"/>
              <w:bottom w:val="nil"/>
              <w:right w:val="nil"/>
            </w:tcBorders>
          </w:tcPr>
          <w:p w:rsidR="00B259BC" w:rsidRDefault="00B259BC">
            <w:pPr>
              <w:pStyle w:val="ConsPlusNormal"/>
            </w:pPr>
          </w:p>
        </w:tc>
        <w:tc>
          <w:tcPr>
            <w:tcW w:w="1382" w:type="dxa"/>
            <w:tcBorders>
              <w:top w:val="nil"/>
              <w:left w:val="nil"/>
              <w:bottom w:val="nil"/>
              <w:right w:val="single" w:sz="4" w:space="0" w:color="auto"/>
            </w:tcBorders>
            <w:vAlign w:val="bottom"/>
          </w:tcPr>
          <w:p w:rsidR="00B259BC" w:rsidRDefault="00B259BC">
            <w:pPr>
              <w:pStyle w:val="ConsPlusNormal"/>
              <w:jc w:val="center"/>
            </w:pPr>
            <w:r>
              <w:t>Дата</w:t>
            </w:r>
          </w:p>
        </w:tc>
        <w:tc>
          <w:tcPr>
            <w:tcW w:w="1037" w:type="dxa"/>
            <w:tcBorders>
              <w:top w:val="single" w:sz="4" w:space="0" w:color="auto"/>
              <w:left w:val="single" w:sz="4" w:space="0" w:color="auto"/>
              <w:bottom w:val="single" w:sz="4" w:space="0" w:color="auto"/>
              <w:right w:val="single" w:sz="4" w:space="0" w:color="auto"/>
            </w:tcBorders>
          </w:tcPr>
          <w:p w:rsidR="00B259BC" w:rsidRDefault="00B259BC">
            <w:pPr>
              <w:pStyle w:val="ConsPlusNormal"/>
            </w:pPr>
          </w:p>
        </w:tc>
      </w:tr>
      <w:tr w:rsidR="00B259BC">
        <w:tc>
          <w:tcPr>
            <w:tcW w:w="5046" w:type="dxa"/>
            <w:tcBorders>
              <w:top w:val="nil"/>
              <w:left w:val="nil"/>
              <w:bottom w:val="single" w:sz="4" w:space="0" w:color="auto"/>
              <w:right w:val="nil"/>
            </w:tcBorders>
          </w:tcPr>
          <w:p w:rsidR="00B259BC" w:rsidRDefault="00B259BC">
            <w:pPr>
              <w:pStyle w:val="ConsPlusNormal"/>
            </w:pPr>
          </w:p>
        </w:tc>
        <w:tc>
          <w:tcPr>
            <w:tcW w:w="1587" w:type="dxa"/>
            <w:tcBorders>
              <w:top w:val="nil"/>
              <w:left w:val="nil"/>
              <w:bottom w:val="nil"/>
              <w:right w:val="nil"/>
            </w:tcBorders>
          </w:tcPr>
          <w:p w:rsidR="00B259BC" w:rsidRDefault="00B259BC">
            <w:pPr>
              <w:pStyle w:val="ConsPlusNormal"/>
            </w:pPr>
          </w:p>
        </w:tc>
        <w:tc>
          <w:tcPr>
            <w:tcW w:w="1382" w:type="dxa"/>
            <w:tcBorders>
              <w:top w:val="nil"/>
              <w:left w:val="nil"/>
              <w:bottom w:val="nil"/>
              <w:right w:val="single" w:sz="4" w:space="0" w:color="auto"/>
            </w:tcBorders>
          </w:tcPr>
          <w:p w:rsidR="00B259BC" w:rsidRDefault="00B259BC">
            <w:pPr>
              <w:pStyle w:val="ConsPlusNormal"/>
            </w:pPr>
          </w:p>
        </w:tc>
        <w:tc>
          <w:tcPr>
            <w:tcW w:w="1037" w:type="dxa"/>
            <w:tcBorders>
              <w:top w:val="single" w:sz="4" w:space="0" w:color="auto"/>
              <w:left w:val="single" w:sz="4" w:space="0" w:color="auto"/>
              <w:bottom w:val="single" w:sz="4" w:space="0" w:color="auto"/>
              <w:right w:val="single" w:sz="4" w:space="0" w:color="auto"/>
            </w:tcBorders>
          </w:tcPr>
          <w:p w:rsidR="00B259BC" w:rsidRDefault="00B259BC">
            <w:pPr>
              <w:pStyle w:val="ConsPlusNormal"/>
            </w:pPr>
          </w:p>
        </w:tc>
      </w:tr>
      <w:tr w:rsidR="00B259BC">
        <w:tc>
          <w:tcPr>
            <w:tcW w:w="5046" w:type="dxa"/>
            <w:tcBorders>
              <w:top w:val="single" w:sz="4" w:space="0" w:color="auto"/>
              <w:left w:val="nil"/>
              <w:bottom w:val="nil"/>
              <w:right w:val="nil"/>
            </w:tcBorders>
          </w:tcPr>
          <w:p w:rsidR="00B259BC" w:rsidRDefault="00B259BC">
            <w:pPr>
              <w:pStyle w:val="ConsPlusNormal"/>
            </w:pPr>
            <w:r>
              <w:t xml:space="preserve">Периодичность: ежемесячно: не позднее 10 числа месяца, следующего за </w:t>
            </w:r>
            <w:proofErr w:type="gramStart"/>
            <w:r>
              <w:t>отчетным</w:t>
            </w:r>
            <w:proofErr w:type="gramEnd"/>
          </w:p>
        </w:tc>
        <w:tc>
          <w:tcPr>
            <w:tcW w:w="1587" w:type="dxa"/>
            <w:tcBorders>
              <w:top w:val="nil"/>
              <w:left w:val="nil"/>
              <w:bottom w:val="nil"/>
              <w:right w:val="nil"/>
            </w:tcBorders>
          </w:tcPr>
          <w:p w:rsidR="00B259BC" w:rsidRDefault="00B259BC">
            <w:pPr>
              <w:pStyle w:val="ConsPlusNormal"/>
            </w:pPr>
          </w:p>
        </w:tc>
        <w:tc>
          <w:tcPr>
            <w:tcW w:w="1382" w:type="dxa"/>
            <w:tcBorders>
              <w:top w:val="nil"/>
              <w:left w:val="nil"/>
              <w:bottom w:val="nil"/>
              <w:right w:val="single" w:sz="4" w:space="0" w:color="auto"/>
            </w:tcBorders>
            <w:vAlign w:val="bottom"/>
          </w:tcPr>
          <w:p w:rsidR="00B259BC" w:rsidRDefault="00B259BC">
            <w:pPr>
              <w:pStyle w:val="ConsPlusNormal"/>
              <w:jc w:val="center"/>
            </w:pPr>
            <w:r>
              <w:t xml:space="preserve">по </w:t>
            </w:r>
            <w:hyperlink r:id="rId16" w:history="1">
              <w:r>
                <w:rPr>
                  <w:color w:val="0000FF"/>
                </w:rPr>
                <w:t>ОКТМО</w:t>
              </w:r>
            </w:hyperlink>
          </w:p>
        </w:tc>
        <w:tc>
          <w:tcPr>
            <w:tcW w:w="1037" w:type="dxa"/>
            <w:tcBorders>
              <w:top w:val="single" w:sz="4" w:space="0" w:color="auto"/>
              <w:left w:val="single" w:sz="4" w:space="0" w:color="auto"/>
              <w:bottom w:val="single" w:sz="4" w:space="0" w:color="auto"/>
              <w:right w:val="single" w:sz="4" w:space="0" w:color="auto"/>
            </w:tcBorders>
          </w:tcPr>
          <w:p w:rsidR="00B259BC" w:rsidRDefault="00B259BC">
            <w:pPr>
              <w:pStyle w:val="ConsPlusNormal"/>
            </w:pPr>
          </w:p>
        </w:tc>
      </w:tr>
      <w:tr w:rsidR="00B259BC">
        <w:tc>
          <w:tcPr>
            <w:tcW w:w="5046" w:type="dxa"/>
            <w:tcBorders>
              <w:top w:val="nil"/>
              <w:left w:val="nil"/>
              <w:bottom w:val="nil"/>
              <w:right w:val="nil"/>
            </w:tcBorders>
          </w:tcPr>
          <w:p w:rsidR="00B259BC" w:rsidRDefault="00B259BC">
            <w:pPr>
              <w:pStyle w:val="ConsPlusNormal"/>
            </w:pPr>
          </w:p>
        </w:tc>
        <w:tc>
          <w:tcPr>
            <w:tcW w:w="1587" w:type="dxa"/>
            <w:tcBorders>
              <w:top w:val="nil"/>
              <w:left w:val="nil"/>
              <w:bottom w:val="nil"/>
              <w:right w:val="nil"/>
            </w:tcBorders>
          </w:tcPr>
          <w:p w:rsidR="00B259BC" w:rsidRDefault="00B259BC">
            <w:pPr>
              <w:pStyle w:val="ConsPlusNormal"/>
            </w:pPr>
          </w:p>
        </w:tc>
        <w:tc>
          <w:tcPr>
            <w:tcW w:w="1382" w:type="dxa"/>
            <w:tcBorders>
              <w:top w:val="nil"/>
              <w:left w:val="nil"/>
              <w:bottom w:val="nil"/>
              <w:right w:val="single" w:sz="4" w:space="0" w:color="auto"/>
            </w:tcBorders>
            <w:vAlign w:val="bottom"/>
          </w:tcPr>
          <w:p w:rsidR="00B259BC" w:rsidRDefault="00B259BC">
            <w:pPr>
              <w:pStyle w:val="ConsPlusNormal"/>
              <w:jc w:val="center"/>
            </w:pPr>
            <w:r>
              <w:t xml:space="preserve">по </w:t>
            </w:r>
            <w:hyperlink r:id="rId17" w:history="1">
              <w:r>
                <w:rPr>
                  <w:color w:val="0000FF"/>
                </w:rPr>
                <w:t>ОКЕИ</w:t>
              </w:r>
            </w:hyperlink>
          </w:p>
        </w:tc>
        <w:tc>
          <w:tcPr>
            <w:tcW w:w="1037" w:type="dxa"/>
            <w:tcBorders>
              <w:top w:val="single" w:sz="4" w:space="0" w:color="auto"/>
              <w:left w:val="single" w:sz="4" w:space="0" w:color="auto"/>
              <w:bottom w:val="single" w:sz="4" w:space="0" w:color="auto"/>
              <w:right w:val="single" w:sz="4" w:space="0" w:color="auto"/>
            </w:tcBorders>
          </w:tcPr>
          <w:p w:rsidR="00B259BC" w:rsidRDefault="00B259BC">
            <w:pPr>
              <w:pStyle w:val="ConsPlusNormal"/>
            </w:pPr>
          </w:p>
        </w:tc>
      </w:tr>
    </w:tbl>
    <w:p w:rsidR="00B259BC" w:rsidRDefault="00B259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259BC">
        <w:tc>
          <w:tcPr>
            <w:tcW w:w="9014" w:type="dxa"/>
            <w:tcBorders>
              <w:top w:val="nil"/>
              <w:left w:val="nil"/>
              <w:bottom w:val="nil"/>
              <w:right w:val="nil"/>
            </w:tcBorders>
          </w:tcPr>
          <w:p w:rsidR="00B259BC" w:rsidRDefault="00B259BC">
            <w:pPr>
              <w:pStyle w:val="ConsPlusNormal"/>
              <w:jc w:val="center"/>
              <w:outlineLvl w:val="1"/>
            </w:pPr>
            <w:bookmarkStart w:id="2" w:name="P135"/>
            <w:bookmarkEnd w:id="2"/>
            <w:r>
              <w:t>I. Сведения о численности врачей и среднего медицинского персонала</w:t>
            </w:r>
          </w:p>
        </w:tc>
      </w:tr>
    </w:tbl>
    <w:p w:rsidR="00B259BC" w:rsidRDefault="00B259BC">
      <w:pPr>
        <w:pStyle w:val="ConsPlusNormal"/>
        <w:jc w:val="both"/>
      </w:pPr>
    </w:p>
    <w:p w:rsidR="00B259BC" w:rsidRDefault="00B259BC">
      <w:pPr>
        <w:sectPr w:rsidR="00B259BC" w:rsidSect="00B471A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531"/>
        <w:gridCol w:w="567"/>
        <w:gridCol w:w="624"/>
        <w:gridCol w:w="499"/>
        <w:gridCol w:w="1020"/>
        <w:gridCol w:w="624"/>
        <w:gridCol w:w="499"/>
        <w:gridCol w:w="1020"/>
        <w:gridCol w:w="624"/>
        <w:gridCol w:w="504"/>
        <w:gridCol w:w="1020"/>
        <w:gridCol w:w="624"/>
        <w:gridCol w:w="499"/>
        <w:gridCol w:w="970"/>
        <w:gridCol w:w="624"/>
        <w:gridCol w:w="504"/>
        <w:gridCol w:w="1020"/>
        <w:gridCol w:w="624"/>
        <w:gridCol w:w="504"/>
        <w:gridCol w:w="994"/>
      </w:tblGrid>
      <w:tr w:rsidR="00B259BC">
        <w:tc>
          <w:tcPr>
            <w:tcW w:w="907" w:type="dxa"/>
            <w:vMerge w:val="restart"/>
          </w:tcPr>
          <w:p w:rsidR="00B259BC" w:rsidRDefault="00B259BC">
            <w:pPr>
              <w:pStyle w:val="ConsPlusNormal"/>
              <w:jc w:val="center"/>
            </w:pPr>
            <w:r>
              <w:lastRenderedPageBreak/>
              <w:t>Наименование медицинской организации (далее - МО)</w:t>
            </w:r>
          </w:p>
        </w:tc>
        <w:tc>
          <w:tcPr>
            <w:tcW w:w="1531" w:type="dxa"/>
            <w:vMerge w:val="restart"/>
          </w:tcPr>
          <w:p w:rsidR="00B259BC" w:rsidRDefault="00B259BC">
            <w:pPr>
              <w:pStyle w:val="ConsPlusNormal"/>
              <w:jc w:val="center"/>
            </w:pPr>
            <w:r>
              <w:t>Код МО в едином реестре медицинских организаций, осуществляющих деятельность в сфере обязательного медицинского страхования</w:t>
            </w:r>
          </w:p>
        </w:tc>
        <w:tc>
          <w:tcPr>
            <w:tcW w:w="567" w:type="dxa"/>
            <w:vMerge w:val="restart"/>
          </w:tcPr>
          <w:p w:rsidR="00B259BC" w:rsidRDefault="00B259BC">
            <w:pPr>
              <w:pStyle w:val="ConsPlusNormal"/>
              <w:jc w:val="center"/>
            </w:pPr>
            <w:r>
              <w:t>Вид МО</w:t>
            </w:r>
          </w:p>
        </w:tc>
        <w:tc>
          <w:tcPr>
            <w:tcW w:w="12797" w:type="dxa"/>
            <w:gridSpan w:val="18"/>
          </w:tcPr>
          <w:p w:rsidR="00B259BC" w:rsidRDefault="00B259BC">
            <w:pPr>
              <w:pStyle w:val="ConsPlusNormal"/>
              <w:jc w:val="center"/>
            </w:pPr>
            <w:r>
              <w:t>Численность врачей и среднего медицинского персонала (человек)</w:t>
            </w:r>
          </w:p>
        </w:tc>
      </w:tr>
      <w:tr w:rsidR="00B259BC">
        <w:tc>
          <w:tcPr>
            <w:tcW w:w="907" w:type="dxa"/>
            <w:vMerge/>
          </w:tcPr>
          <w:p w:rsidR="00B259BC" w:rsidRDefault="00B259BC">
            <w:pPr>
              <w:spacing w:after="1" w:line="0" w:lineRule="atLeast"/>
            </w:pPr>
          </w:p>
        </w:tc>
        <w:tc>
          <w:tcPr>
            <w:tcW w:w="1531" w:type="dxa"/>
            <w:vMerge/>
          </w:tcPr>
          <w:p w:rsidR="00B259BC" w:rsidRDefault="00B259BC">
            <w:pPr>
              <w:spacing w:after="1" w:line="0" w:lineRule="atLeast"/>
            </w:pPr>
          </w:p>
        </w:tc>
        <w:tc>
          <w:tcPr>
            <w:tcW w:w="567" w:type="dxa"/>
            <w:vMerge/>
          </w:tcPr>
          <w:p w:rsidR="00B259BC" w:rsidRDefault="00B259BC">
            <w:pPr>
              <w:spacing w:after="1" w:line="0" w:lineRule="atLeast"/>
            </w:pPr>
          </w:p>
        </w:tc>
        <w:tc>
          <w:tcPr>
            <w:tcW w:w="2143" w:type="dxa"/>
            <w:gridSpan w:val="3"/>
          </w:tcPr>
          <w:p w:rsidR="00B259BC" w:rsidRDefault="00B259BC">
            <w:pPr>
              <w:pStyle w:val="ConsPlusNormal"/>
              <w:jc w:val="center"/>
            </w:pPr>
            <w:r>
              <w:t>на 1 января текущего финансового года</w:t>
            </w:r>
          </w:p>
        </w:tc>
        <w:tc>
          <w:tcPr>
            <w:tcW w:w="2143" w:type="dxa"/>
            <w:gridSpan w:val="3"/>
          </w:tcPr>
          <w:p w:rsidR="00B259BC" w:rsidRDefault="00B259BC">
            <w:pPr>
              <w:pStyle w:val="ConsPlusNormal"/>
              <w:jc w:val="center"/>
            </w:pPr>
            <w:r>
              <w:t>потребность на текущий финансовый год</w:t>
            </w:r>
          </w:p>
        </w:tc>
        <w:tc>
          <w:tcPr>
            <w:tcW w:w="2148" w:type="dxa"/>
            <w:gridSpan w:val="3"/>
          </w:tcPr>
          <w:p w:rsidR="00B259BC" w:rsidRDefault="00B259BC">
            <w:pPr>
              <w:pStyle w:val="ConsPlusNormal"/>
              <w:jc w:val="center"/>
            </w:pPr>
            <w:proofErr w:type="gramStart"/>
            <w:r>
              <w:t>принятые</w:t>
            </w:r>
            <w:proofErr w:type="gramEnd"/>
            <w:r>
              <w:t xml:space="preserve"> на работу в отчетном периоде</w:t>
            </w:r>
          </w:p>
        </w:tc>
        <w:tc>
          <w:tcPr>
            <w:tcW w:w="2093" w:type="dxa"/>
            <w:gridSpan w:val="3"/>
          </w:tcPr>
          <w:p w:rsidR="00B259BC" w:rsidRDefault="00B259BC">
            <w:pPr>
              <w:pStyle w:val="ConsPlusNormal"/>
              <w:jc w:val="center"/>
            </w:pPr>
            <w:proofErr w:type="gramStart"/>
            <w:r>
              <w:t>уволенные</w:t>
            </w:r>
            <w:proofErr w:type="gramEnd"/>
            <w:r>
              <w:t xml:space="preserve"> в отчетном периоде</w:t>
            </w:r>
          </w:p>
        </w:tc>
        <w:tc>
          <w:tcPr>
            <w:tcW w:w="2148" w:type="dxa"/>
            <w:gridSpan w:val="3"/>
          </w:tcPr>
          <w:p w:rsidR="00B259BC" w:rsidRDefault="00B259BC">
            <w:pPr>
              <w:pStyle w:val="ConsPlusNormal"/>
              <w:jc w:val="center"/>
            </w:pPr>
            <w:r>
              <w:t>численность на последнее число отчетного периода</w:t>
            </w:r>
          </w:p>
        </w:tc>
        <w:tc>
          <w:tcPr>
            <w:tcW w:w="2122" w:type="dxa"/>
            <w:gridSpan w:val="3"/>
          </w:tcPr>
          <w:p w:rsidR="00B259BC" w:rsidRDefault="00B259BC">
            <w:pPr>
              <w:pStyle w:val="ConsPlusNormal"/>
              <w:jc w:val="center"/>
            </w:pPr>
            <w:r>
              <w:t>отклонение численности на конец отчетного периода от численности на 1 января текущего финансового года</w:t>
            </w:r>
          </w:p>
        </w:tc>
      </w:tr>
      <w:tr w:rsidR="00B259BC">
        <w:tc>
          <w:tcPr>
            <w:tcW w:w="907" w:type="dxa"/>
            <w:vMerge/>
          </w:tcPr>
          <w:p w:rsidR="00B259BC" w:rsidRDefault="00B259BC">
            <w:pPr>
              <w:spacing w:after="1" w:line="0" w:lineRule="atLeast"/>
            </w:pPr>
          </w:p>
        </w:tc>
        <w:tc>
          <w:tcPr>
            <w:tcW w:w="1531" w:type="dxa"/>
            <w:vMerge/>
          </w:tcPr>
          <w:p w:rsidR="00B259BC" w:rsidRDefault="00B259BC">
            <w:pPr>
              <w:spacing w:after="1" w:line="0" w:lineRule="atLeast"/>
            </w:pPr>
          </w:p>
        </w:tc>
        <w:tc>
          <w:tcPr>
            <w:tcW w:w="567" w:type="dxa"/>
            <w:vMerge/>
          </w:tcPr>
          <w:p w:rsidR="00B259BC" w:rsidRDefault="00B259BC">
            <w:pPr>
              <w:spacing w:after="1" w:line="0" w:lineRule="atLeast"/>
            </w:pPr>
          </w:p>
        </w:tc>
        <w:tc>
          <w:tcPr>
            <w:tcW w:w="624" w:type="dxa"/>
          </w:tcPr>
          <w:p w:rsidR="00B259BC" w:rsidRDefault="00B259BC">
            <w:pPr>
              <w:pStyle w:val="ConsPlusNormal"/>
              <w:jc w:val="center"/>
            </w:pPr>
            <w:r>
              <w:t>итого, в том числе:</w:t>
            </w:r>
          </w:p>
        </w:tc>
        <w:tc>
          <w:tcPr>
            <w:tcW w:w="499" w:type="dxa"/>
          </w:tcPr>
          <w:p w:rsidR="00B259BC" w:rsidRDefault="00B259BC">
            <w:pPr>
              <w:pStyle w:val="ConsPlusNormal"/>
              <w:jc w:val="center"/>
            </w:pPr>
            <w:r>
              <w:t>врачи</w:t>
            </w:r>
          </w:p>
        </w:tc>
        <w:tc>
          <w:tcPr>
            <w:tcW w:w="1020" w:type="dxa"/>
          </w:tcPr>
          <w:p w:rsidR="00B259BC" w:rsidRDefault="00B259BC">
            <w:pPr>
              <w:pStyle w:val="ConsPlusNormal"/>
              <w:jc w:val="center"/>
            </w:pPr>
            <w:r>
              <w:t>средний медицинский персонал</w:t>
            </w:r>
          </w:p>
        </w:tc>
        <w:tc>
          <w:tcPr>
            <w:tcW w:w="624" w:type="dxa"/>
          </w:tcPr>
          <w:p w:rsidR="00B259BC" w:rsidRDefault="00B259BC">
            <w:pPr>
              <w:pStyle w:val="ConsPlusNormal"/>
              <w:jc w:val="center"/>
            </w:pPr>
            <w:r>
              <w:t>итого, в том числе:</w:t>
            </w:r>
          </w:p>
        </w:tc>
        <w:tc>
          <w:tcPr>
            <w:tcW w:w="499" w:type="dxa"/>
          </w:tcPr>
          <w:p w:rsidR="00B259BC" w:rsidRDefault="00B259BC">
            <w:pPr>
              <w:pStyle w:val="ConsPlusNormal"/>
              <w:jc w:val="center"/>
            </w:pPr>
            <w:r>
              <w:t>врачи</w:t>
            </w:r>
          </w:p>
        </w:tc>
        <w:tc>
          <w:tcPr>
            <w:tcW w:w="1020" w:type="dxa"/>
          </w:tcPr>
          <w:p w:rsidR="00B259BC" w:rsidRDefault="00B259BC">
            <w:pPr>
              <w:pStyle w:val="ConsPlusNormal"/>
              <w:jc w:val="center"/>
            </w:pPr>
            <w:r>
              <w:t>средний медицинский персонал</w:t>
            </w:r>
          </w:p>
        </w:tc>
        <w:tc>
          <w:tcPr>
            <w:tcW w:w="624" w:type="dxa"/>
          </w:tcPr>
          <w:p w:rsidR="00B259BC" w:rsidRDefault="00B259BC">
            <w:pPr>
              <w:pStyle w:val="ConsPlusNormal"/>
              <w:jc w:val="center"/>
            </w:pPr>
            <w:r>
              <w:t>итого, в том числе:</w:t>
            </w:r>
          </w:p>
        </w:tc>
        <w:tc>
          <w:tcPr>
            <w:tcW w:w="504" w:type="dxa"/>
          </w:tcPr>
          <w:p w:rsidR="00B259BC" w:rsidRDefault="00B259BC">
            <w:pPr>
              <w:pStyle w:val="ConsPlusNormal"/>
              <w:jc w:val="center"/>
            </w:pPr>
            <w:r>
              <w:t>врачи</w:t>
            </w:r>
          </w:p>
        </w:tc>
        <w:tc>
          <w:tcPr>
            <w:tcW w:w="1020" w:type="dxa"/>
          </w:tcPr>
          <w:p w:rsidR="00B259BC" w:rsidRDefault="00B259BC">
            <w:pPr>
              <w:pStyle w:val="ConsPlusNormal"/>
              <w:jc w:val="center"/>
            </w:pPr>
            <w:r>
              <w:t>средний медицинский персонал</w:t>
            </w:r>
          </w:p>
        </w:tc>
        <w:tc>
          <w:tcPr>
            <w:tcW w:w="624" w:type="dxa"/>
          </w:tcPr>
          <w:p w:rsidR="00B259BC" w:rsidRDefault="00B259BC">
            <w:pPr>
              <w:pStyle w:val="ConsPlusNormal"/>
              <w:jc w:val="center"/>
            </w:pPr>
            <w:r>
              <w:t>итого, в том числе:</w:t>
            </w:r>
          </w:p>
        </w:tc>
        <w:tc>
          <w:tcPr>
            <w:tcW w:w="499" w:type="dxa"/>
          </w:tcPr>
          <w:p w:rsidR="00B259BC" w:rsidRDefault="00B259BC">
            <w:pPr>
              <w:pStyle w:val="ConsPlusNormal"/>
              <w:jc w:val="center"/>
            </w:pPr>
            <w:r>
              <w:t>врачи</w:t>
            </w:r>
          </w:p>
        </w:tc>
        <w:tc>
          <w:tcPr>
            <w:tcW w:w="970" w:type="dxa"/>
          </w:tcPr>
          <w:p w:rsidR="00B259BC" w:rsidRDefault="00B259BC">
            <w:pPr>
              <w:pStyle w:val="ConsPlusNormal"/>
              <w:jc w:val="center"/>
            </w:pPr>
            <w:r>
              <w:t>средний медицинский персонал</w:t>
            </w:r>
          </w:p>
        </w:tc>
        <w:tc>
          <w:tcPr>
            <w:tcW w:w="624" w:type="dxa"/>
          </w:tcPr>
          <w:p w:rsidR="00B259BC" w:rsidRDefault="00B259BC">
            <w:pPr>
              <w:pStyle w:val="ConsPlusNormal"/>
              <w:jc w:val="center"/>
            </w:pPr>
            <w:r>
              <w:t>итого, в том числе:</w:t>
            </w:r>
          </w:p>
        </w:tc>
        <w:tc>
          <w:tcPr>
            <w:tcW w:w="504" w:type="dxa"/>
          </w:tcPr>
          <w:p w:rsidR="00B259BC" w:rsidRDefault="00B259BC">
            <w:pPr>
              <w:pStyle w:val="ConsPlusNormal"/>
              <w:jc w:val="center"/>
            </w:pPr>
            <w:r>
              <w:t>врачи</w:t>
            </w:r>
          </w:p>
        </w:tc>
        <w:tc>
          <w:tcPr>
            <w:tcW w:w="1020" w:type="dxa"/>
          </w:tcPr>
          <w:p w:rsidR="00B259BC" w:rsidRDefault="00B259BC">
            <w:pPr>
              <w:pStyle w:val="ConsPlusNormal"/>
              <w:jc w:val="center"/>
            </w:pPr>
            <w:r>
              <w:t>средний медицинский персонал</w:t>
            </w:r>
          </w:p>
        </w:tc>
        <w:tc>
          <w:tcPr>
            <w:tcW w:w="624" w:type="dxa"/>
          </w:tcPr>
          <w:p w:rsidR="00B259BC" w:rsidRDefault="00B259BC">
            <w:pPr>
              <w:pStyle w:val="ConsPlusNormal"/>
              <w:jc w:val="center"/>
            </w:pPr>
            <w:r>
              <w:t>итого, в том числе:</w:t>
            </w:r>
          </w:p>
        </w:tc>
        <w:tc>
          <w:tcPr>
            <w:tcW w:w="504" w:type="dxa"/>
          </w:tcPr>
          <w:p w:rsidR="00B259BC" w:rsidRDefault="00B259BC">
            <w:pPr>
              <w:pStyle w:val="ConsPlusNormal"/>
              <w:jc w:val="center"/>
            </w:pPr>
            <w:r>
              <w:t>врачи</w:t>
            </w:r>
          </w:p>
        </w:tc>
        <w:tc>
          <w:tcPr>
            <w:tcW w:w="994" w:type="dxa"/>
          </w:tcPr>
          <w:p w:rsidR="00B259BC" w:rsidRDefault="00B259BC">
            <w:pPr>
              <w:pStyle w:val="ConsPlusNormal"/>
              <w:jc w:val="center"/>
            </w:pPr>
            <w:r>
              <w:t>средний медицинский персонал</w:t>
            </w:r>
          </w:p>
        </w:tc>
      </w:tr>
      <w:tr w:rsidR="00B259BC">
        <w:tc>
          <w:tcPr>
            <w:tcW w:w="907" w:type="dxa"/>
          </w:tcPr>
          <w:p w:rsidR="00B259BC" w:rsidRDefault="00B259BC">
            <w:pPr>
              <w:pStyle w:val="ConsPlusNormal"/>
              <w:jc w:val="center"/>
            </w:pPr>
            <w:bookmarkStart w:id="3" w:name="P165"/>
            <w:bookmarkEnd w:id="3"/>
            <w:r>
              <w:t>1</w:t>
            </w:r>
          </w:p>
        </w:tc>
        <w:tc>
          <w:tcPr>
            <w:tcW w:w="1531" w:type="dxa"/>
          </w:tcPr>
          <w:p w:rsidR="00B259BC" w:rsidRDefault="00B259BC">
            <w:pPr>
              <w:pStyle w:val="ConsPlusNormal"/>
              <w:jc w:val="center"/>
            </w:pPr>
            <w:bookmarkStart w:id="4" w:name="P166"/>
            <w:bookmarkEnd w:id="4"/>
            <w:r>
              <w:t>2</w:t>
            </w:r>
          </w:p>
        </w:tc>
        <w:tc>
          <w:tcPr>
            <w:tcW w:w="567" w:type="dxa"/>
          </w:tcPr>
          <w:p w:rsidR="00B259BC" w:rsidRDefault="00B259BC">
            <w:pPr>
              <w:pStyle w:val="ConsPlusNormal"/>
              <w:jc w:val="center"/>
            </w:pPr>
            <w:bookmarkStart w:id="5" w:name="P167"/>
            <w:bookmarkEnd w:id="5"/>
            <w:r>
              <w:t>3</w:t>
            </w:r>
          </w:p>
        </w:tc>
        <w:tc>
          <w:tcPr>
            <w:tcW w:w="624" w:type="dxa"/>
          </w:tcPr>
          <w:p w:rsidR="00B259BC" w:rsidRDefault="00B259BC">
            <w:pPr>
              <w:pStyle w:val="ConsPlusNormal"/>
              <w:jc w:val="center"/>
            </w:pPr>
            <w:bookmarkStart w:id="6" w:name="P168"/>
            <w:bookmarkEnd w:id="6"/>
            <w:r>
              <w:t>4</w:t>
            </w:r>
          </w:p>
        </w:tc>
        <w:tc>
          <w:tcPr>
            <w:tcW w:w="499" w:type="dxa"/>
          </w:tcPr>
          <w:p w:rsidR="00B259BC" w:rsidRDefault="00B259BC">
            <w:pPr>
              <w:pStyle w:val="ConsPlusNormal"/>
              <w:jc w:val="center"/>
            </w:pPr>
            <w:bookmarkStart w:id="7" w:name="P169"/>
            <w:bookmarkEnd w:id="7"/>
            <w:r>
              <w:t>5</w:t>
            </w:r>
          </w:p>
        </w:tc>
        <w:tc>
          <w:tcPr>
            <w:tcW w:w="1020" w:type="dxa"/>
          </w:tcPr>
          <w:p w:rsidR="00B259BC" w:rsidRDefault="00B259BC">
            <w:pPr>
              <w:pStyle w:val="ConsPlusNormal"/>
              <w:jc w:val="center"/>
            </w:pPr>
            <w:bookmarkStart w:id="8" w:name="P170"/>
            <w:bookmarkEnd w:id="8"/>
            <w:r>
              <w:t>6</w:t>
            </w:r>
          </w:p>
        </w:tc>
        <w:tc>
          <w:tcPr>
            <w:tcW w:w="624" w:type="dxa"/>
          </w:tcPr>
          <w:p w:rsidR="00B259BC" w:rsidRDefault="00B259BC">
            <w:pPr>
              <w:pStyle w:val="ConsPlusNormal"/>
              <w:jc w:val="center"/>
            </w:pPr>
            <w:bookmarkStart w:id="9" w:name="P171"/>
            <w:bookmarkEnd w:id="9"/>
            <w:r>
              <w:t>7</w:t>
            </w:r>
          </w:p>
        </w:tc>
        <w:tc>
          <w:tcPr>
            <w:tcW w:w="499" w:type="dxa"/>
          </w:tcPr>
          <w:p w:rsidR="00B259BC" w:rsidRDefault="00B259BC">
            <w:pPr>
              <w:pStyle w:val="ConsPlusNormal"/>
              <w:jc w:val="center"/>
            </w:pPr>
            <w:bookmarkStart w:id="10" w:name="P172"/>
            <w:bookmarkEnd w:id="10"/>
            <w:r>
              <w:t>8</w:t>
            </w:r>
          </w:p>
        </w:tc>
        <w:tc>
          <w:tcPr>
            <w:tcW w:w="1020" w:type="dxa"/>
          </w:tcPr>
          <w:p w:rsidR="00B259BC" w:rsidRDefault="00B259BC">
            <w:pPr>
              <w:pStyle w:val="ConsPlusNormal"/>
              <w:jc w:val="center"/>
            </w:pPr>
            <w:bookmarkStart w:id="11" w:name="P173"/>
            <w:bookmarkEnd w:id="11"/>
            <w:r>
              <w:t>9</w:t>
            </w:r>
          </w:p>
        </w:tc>
        <w:tc>
          <w:tcPr>
            <w:tcW w:w="624" w:type="dxa"/>
          </w:tcPr>
          <w:p w:rsidR="00B259BC" w:rsidRDefault="00B259BC">
            <w:pPr>
              <w:pStyle w:val="ConsPlusNormal"/>
              <w:jc w:val="center"/>
            </w:pPr>
            <w:bookmarkStart w:id="12" w:name="P174"/>
            <w:bookmarkEnd w:id="12"/>
            <w:r>
              <w:t>10</w:t>
            </w:r>
          </w:p>
        </w:tc>
        <w:tc>
          <w:tcPr>
            <w:tcW w:w="504" w:type="dxa"/>
          </w:tcPr>
          <w:p w:rsidR="00B259BC" w:rsidRDefault="00B259BC">
            <w:pPr>
              <w:pStyle w:val="ConsPlusNormal"/>
              <w:jc w:val="center"/>
            </w:pPr>
            <w:bookmarkStart w:id="13" w:name="P175"/>
            <w:bookmarkEnd w:id="13"/>
            <w:r>
              <w:t>11</w:t>
            </w:r>
          </w:p>
        </w:tc>
        <w:tc>
          <w:tcPr>
            <w:tcW w:w="1020" w:type="dxa"/>
          </w:tcPr>
          <w:p w:rsidR="00B259BC" w:rsidRDefault="00B259BC">
            <w:pPr>
              <w:pStyle w:val="ConsPlusNormal"/>
              <w:jc w:val="center"/>
            </w:pPr>
            <w:bookmarkStart w:id="14" w:name="P176"/>
            <w:bookmarkEnd w:id="14"/>
            <w:r>
              <w:t>12</w:t>
            </w:r>
          </w:p>
        </w:tc>
        <w:tc>
          <w:tcPr>
            <w:tcW w:w="624" w:type="dxa"/>
          </w:tcPr>
          <w:p w:rsidR="00B259BC" w:rsidRDefault="00B259BC">
            <w:pPr>
              <w:pStyle w:val="ConsPlusNormal"/>
              <w:jc w:val="center"/>
            </w:pPr>
            <w:bookmarkStart w:id="15" w:name="P177"/>
            <w:bookmarkEnd w:id="15"/>
            <w:r>
              <w:t>13</w:t>
            </w:r>
          </w:p>
        </w:tc>
        <w:tc>
          <w:tcPr>
            <w:tcW w:w="499" w:type="dxa"/>
          </w:tcPr>
          <w:p w:rsidR="00B259BC" w:rsidRDefault="00B259BC">
            <w:pPr>
              <w:pStyle w:val="ConsPlusNormal"/>
              <w:jc w:val="center"/>
            </w:pPr>
            <w:bookmarkStart w:id="16" w:name="P178"/>
            <w:bookmarkEnd w:id="16"/>
            <w:r>
              <w:t>14</w:t>
            </w:r>
          </w:p>
        </w:tc>
        <w:tc>
          <w:tcPr>
            <w:tcW w:w="970" w:type="dxa"/>
          </w:tcPr>
          <w:p w:rsidR="00B259BC" w:rsidRDefault="00B259BC">
            <w:pPr>
              <w:pStyle w:val="ConsPlusNormal"/>
              <w:jc w:val="center"/>
            </w:pPr>
            <w:bookmarkStart w:id="17" w:name="P179"/>
            <w:bookmarkEnd w:id="17"/>
            <w:r>
              <w:t>15</w:t>
            </w:r>
          </w:p>
        </w:tc>
        <w:tc>
          <w:tcPr>
            <w:tcW w:w="624" w:type="dxa"/>
          </w:tcPr>
          <w:p w:rsidR="00B259BC" w:rsidRDefault="00B259BC">
            <w:pPr>
              <w:pStyle w:val="ConsPlusNormal"/>
              <w:jc w:val="center"/>
            </w:pPr>
            <w:bookmarkStart w:id="18" w:name="P180"/>
            <w:bookmarkEnd w:id="18"/>
            <w:r>
              <w:t>16</w:t>
            </w:r>
          </w:p>
        </w:tc>
        <w:tc>
          <w:tcPr>
            <w:tcW w:w="504" w:type="dxa"/>
          </w:tcPr>
          <w:p w:rsidR="00B259BC" w:rsidRDefault="00B259BC">
            <w:pPr>
              <w:pStyle w:val="ConsPlusNormal"/>
              <w:jc w:val="center"/>
            </w:pPr>
            <w:bookmarkStart w:id="19" w:name="P181"/>
            <w:bookmarkEnd w:id="19"/>
            <w:r>
              <w:t>17</w:t>
            </w:r>
          </w:p>
        </w:tc>
        <w:tc>
          <w:tcPr>
            <w:tcW w:w="1020" w:type="dxa"/>
          </w:tcPr>
          <w:p w:rsidR="00B259BC" w:rsidRDefault="00B259BC">
            <w:pPr>
              <w:pStyle w:val="ConsPlusNormal"/>
              <w:jc w:val="center"/>
            </w:pPr>
            <w:bookmarkStart w:id="20" w:name="P182"/>
            <w:bookmarkEnd w:id="20"/>
            <w:r>
              <w:t>18</w:t>
            </w:r>
          </w:p>
        </w:tc>
        <w:tc>
          <w:tcPr>
            <w:tcW w:w="624" w:type="dxa"/>
          </w:tcPr>
          <w:p w:rsidR="00B259BC" w:rsidRDefault="00B259BC">
            <w:pPr>
              <w:pStyle w:val="ConsPlusNormal"/>
              <w:jc w:val="center"/>
            </w:pPr>
            <w:bookmarkStart w:id="21" w:name="P183"/>
            <w:bookmarkEnd w:id="21"/>
            <w:r>
              <w:t>19</w:t>
            </w:r>
          </w:p>
        </w:tc>
        <w:tc>
          <w:tcPr>
            <w:tcW w:w="504" w:type="dxa"/>
          </w:tcPr>
          <w:p w:rsidR="00B259BC" w:rsidRDefault="00B259BC">
            <w:pPr>
              <w:pStyle w:val="ConsPlusNormal"/>
              <w:jc w:val="center"/>
            </w:pPr>
            <w:bookmarkStart w:id="22" w:name="P184"/>
            <w:bookmarkEnd w:id="22"/>
            <w:r>
              <w:t>20</w:t>
            </w:r>
          </w:p>
        </w:tc>
        <w:tc>
          <w:tcPr>
            <w:tcW w:w="994" w:type="dxa"/>
          </w:tcPr>
          <w:p w:rsidR="00B259BC" w:rsidRDefault="00B259BC">
            <w:pPr>
              <w:pStyle w:val="ConsPlusNormal"/>
              <w:jc w:val="center"/>
            </w:pPr>
            <w:bookmarkStart w:id="23" w:name="P185"/>
            <w:bookmarkEnd w:id="23"/>
            <w:r>
              <w:t>21</w:t>
            </w:r>
          </w:p>
        </w:tc>
      </w:tr>
      <w:tr w:rsidR="00B259BC">
        <w:tc>
          <w:tcPr>
            <w:tcW w:w="907" w:type="dxa"/>
          </w:tcPr>
          <w:p w:rsidR="00B259BC" w:rsidRDefault="00B259BC">
            <w:pPr>
              <w:pStyle w:val="ConsPlusNormal"/>
            </w:pPr>
          </w:p>
        </w:tc>
        <w:tc>
          <w:tcPr>
            <w:tcW w:w="1531" w:type="dxa"/>
          </w:tcPr>
          <w:p w:rsidR="00B259BC" w:rsidRDefault="00B259BC">
            <w:pPr>
              <w:pStyle w:val="ConsPlusNormal"/>
            </w:pPr>
          </w:p>
        </w:tc>
        <w:tc>
          <w:tcPr>
            <w:tcW w:w="567" w:type="dxa"/>
          </w:tcPr>
          <w:p w:rsidR="00B259BC" w:rsidRDefault="00B259BC">
            <w:pPr>
              <w:pStyle w:val="ConsPlusNormal"/>
            </w:pPr>
          </w:p>
        </w:tc>
        <w:tc>
          <w:tcPr>
            <w:tcW w:w="624" w:type="dxa"/>
          </w:tcPr>
          <w:p w:rsidR="00B259BC" w:rsidRDefault="00B259BC">
            <w:pPr>
              <w:pStyle w:val="ConsPlusNormal"/>
            </w:pPr>
          </w:p>
        </w:tc>
        <w:tc>
          <w:tcPr>
            <w:tcW w:w="499" w:type="dxa"/>
          </w:tcPr>
          <w:p w:rsidR="00B259BC" w:rsidRDefault="00B259BC">
            <w:pPr>
              <w:pStyle w:val="ConsPlusNormal"/>
            </w:pPr>
          </w:p>
        </w:tc>
        <w:tc>
          <w:tcPr>
            <w:tcW w:w="1020" w:type="dxa"/>
          </w:tcPr>
          <w:p w:rsidR="00B259BC" w:rsidRDefault="00B259BC">
            <w:pPr>
              <w:pStyle w:val="ConsPlusNormal"/>
            </w:pPr>
          </w:p>
        </w:tc>
        <w:tc>
          <w:tcPr>
            <w:tcW w:w="624" w:type="dxa"/>
          </w:tcPr>
          <w:p w:rsidR="00B259BC" w:rsidRDefault="00B259BC">
            <w:pPr>
              <w:pStyle w:val="ConsPlusNormal"/>
            </w:pPr>
          </w:p>
        </w:tc>
        <w:tc>
          <w:tcPr>
            <w:tcW w:w="499" w:type="dxa"/>
          </w:tcPr>
          <w:p w:rsidR="00B259BC" w:rsidRDefault="00B259BC">
            <w:pPr>
              <w:pStyle w:val="ConsPlusNormal"/>
            </w:pPr>
          </w:p>
        </w:tc>
        <w:tc>
          <w:tcPr>
            <w:tcW w:w="1020" w:type="dxa"/>
          </w:tcPr>
          <w:p w:rsidR="00B259BC" w:rsidRDefault="00B259BC">
            <w:pPr>
              <w:pStyle w:val="ConsPlusNormal"/>
            </w:pPr>
          </w:p>
        </w:tc>
        <w:tc>
          <w:tcPr>
            <w:tcW w:w="624" w:type="dxa"/>
          </w:tcPr>
          <w:p w:rsidR="00B259BC" w:rsidRDefault="00B259BC">
            <w:pPr>
              <w:pStyle w:val="ConsPlusNormal"/>
            </w:pPr>
          </w:p>
        </w:tc>
        <w:tc>
          <w:tcPr>
            <w:tcW w:w="504" w:type="dxa"/>
          </w:tcPr>
          <w:p w:rsidR="00B259BC" w:rsidRDefault="00B259BC">
            <w:pPr>
              <w:pStyle w:val="ConsPlusNormal"/>
            </w:pPr>
          </w:p>
        </w:tc>
        <w:tc>
          <w:tcPr>
            <w:tcW w:w="1020" w:type="dxa"/>
          </w:tcPr>
          <w:p w:rsidR="00B259BC" w:rsidRDefault="00B259BC">
            <w:pPr>
              <w:pStyle w:val="ConsPlusNormal"/>
            </w:pPr>
          </w:p>
        </w:tc>
        <w:tc>
          <w:tcPr>
            <w:tcW w:w="624" w:type="dxa"/>
          </w:tcPr>
          <w:p w:rsidR="00B259BC" w:rsidRDefault="00B259BC">
            <w:pPr>
              <w:pStyle w:val="ConsPlusNormal"/>
            </w:pPr>
          </w:p>
        </w:tc>
        <w:tc>
          <w:tcPr>
            <w:tcW w:w="499" w:type="dxa"/>
          </w:tcPr>
          <w:p w:rsidR="00B259BC" w:rsidRDefault="00B259BC">
            <w:pPr>
              <w:pStyle w:val="ConsPlusNormal"/>
            </w:pPr>
          </w:p>
        </w:tc>
        <w:tc>
          <w:tcPr>
            <w:tcW w:w="970" w:type="dxa"/>
          </w:tcPr>
          <w:p w:rsidR="00B259BC" w:rsidRDefault="00B259BC">
            <w:pPr>
              <w:pStyle w:val="ConsPlusNormal"/>
            </w:pPr>
          </w:p>
        </w:tc>
        <w:tc>
          <w:tcPr>
            <w:tcW w:w="624" w:type="dxa"/>
          </w:tcPr>
          <w:p w:rsidR="00B259BC" w:rsidRDefault="00B259BC">
            <w:pPr>
              <w:pStyle w:val="ConsPlusNormal"/>
            </w:pPr>
          </w:p>
        </w:tc>
        <w:tc>
          <w:tcPr>
            <w:tcW w:w="504" w:type="dxa"/>
          </w:tcPr>
          <w:p w:rsidR="00B259BC" w:rsidRDefault="00B259BC">
            <w:pPr>
              <w:pStyle w:val="ConsPlusNormal"/>
            </w:pPr>
          </w:p>
        </w:tc>
        <w:tc>
          <w:tcPr>
            <w:tcW w:w="1020" w:type="dxa"/>
          </w:tcPr>
          <w:p w:rsidR="00B259BC" w:rsidRDefault="00B259BC">
            <w:pPr>
              <w:pStyle w:val="ConsPlusNormal"/>
            </w:pPr>
          </w:p>
        </w:tc>
        <w:tc>
          <w:tcPr>
            <w:tcW w:w="624" w:type="dxa"/>
          </w:tcPr>
          <w:p w:rsidR="00B259BC" w:rsidRDefault="00B259BC">
            <w:pPr>
              <w:pStyle w:val="ConsPlusNormal"/>
            </w:pPr>
          </w:p>
        </w:tc>
        <w:tc>
          <w:tcPr>
            <w:tcW w:w="504" w:type="dxa"/>
          </w:tcPr>
          <w:p w:rsidR="00B259BC" w:rsidRDefault="00B259BC">
            <w:pPr>
              <w:pStyle w:val="ConsPlusNormal"/>
            </w:pPr>
          </w:p>
        </w:tc>
        <w:tc>
          <w:tcPr>
            <w:tcW w:w="994" w:type="dxa"/>
          </w:tcPr>
          <w:p w:rsidR="00B259BC" w:rsidRDefault="00B259BC">
            <w:pPr>
              <w:pStyle w:val="ConsPlusNormal"/>
            </w:pPr>
          </w:p>
        </w:tc>
      </w:tr>
    </w:tbl>
    <w:p w:rsidR="00B259BC" w:rsidRDefault="00B259BC">
      <w:pPr>
        <w:sectPr w:rsidR="00B259BC">
          <w:pgSz w:w="16838" w:h="11905" w:orient="landscape"/>
          <w:pgMar w:top="1701" w:right="1134" w:bottom="850" w:left="1134" w:header="0" w:footer="0" w:gutter="0"/>
          <w:cols w:space="720"/>
        </w:sectPr>
      </w:pPr>
    </w:p>
    <w:p w:rsidR="00B259BC" w:rsidRDefault="00B259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59BC">
        <w:tc>
          <w:tcPr>
            <w:tcW w:w="9071" w:type="dxa"/>
            <w:tcBorders>
              <w:top w:val="nil"/>
              <w:left w:val="nil"/>
              <w:bottom w:val="nil"/>
              <w:right w:val="nil"/>
            </w:tcBorders>
          </w:tcPr>
          <w:p w:rsidR="00B259BC" w:rsidRDefault="00B259BC">
            <w:pPr>
              <w:pStyle w:val="ConsPlusNormal"/>
              <w:jc w:val="center"/>
              <w:outlineLvl w:val="1"/>
            </w:pPr>
            <w:bookmarkStart w:id="24" w:name="P208"/>
            <w:bookmarkEnd w:id="24"/>
            <w:r>
              <w:t>II. Движение денежных средств</w:t>
            </w:r>
          </w:p>
        </w:tc>
      </w:tr>
    </w:tbl>
    <w:p w:rsidR="00B259BC" w:rsidRDefault="00B25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94"/>
        <w:gridCol w:w="1361"/>
        <w:gridCol w:w="1440"/>
      </w:tblGrid>
      <w:tr w:rsidR="00B259BC">
        <w:tc>
          <w:tcPr>
            <w:tcW w:w="5272" w:type="dxa"/>
            <w:vMerge w:val="restart"/>
          </w:tcPr>
          <w:p w:rsidR="00B259BC" w:rsidRDefault="00B259BC">
            <w:pPr>
              <w:pStyle w:val="ConsPlusNormal"/>
              <w:jc w:val="center"/>
            </w:pPr>
            <w:r>
              <w:t>Наименование показателя</w:t>
            </w:r>
          </w:p>
        </w:tc>
        <w:tc>
          <w:tcPr>
            <w:tcW w:w="994" w:type="dxa"/>
            <w:vMerge w:val="restart"/>
          </w:tcPr>
          <w:p w:rsidR="00B259BC" w:rsidRDefault="00B259BC">
            <w:pPr>
              <w:pStyle w:val="ConsPlusNormal"/>
              <w:jc w:val="center"/>
            </w:pPr>
            <w:r>
              <w:t>Код строки</w:t>
            </w:r>
          </w:p>
        </w:tc>
        <w:tc>
          <w:tcPr>
            <w:tcW w:w="2801" w:type="dxa"/>
            <w:gridSpan w:val="2"/>
          </w:tcPr>
          <w:p w:rsidR="00B259BC" w:rsidRDefault="00B259BC">
            <w:pPr>
              <w:pStyle w:val="ConsPlusNormal"/>
              <w:jc w:val="center"/>
            </w:pPr>
            <w:r>
              <w:t>Сумма средств, рублей</w:t>
            </w:r>
          </w:p>
        </w:tc>
      </w:tr>
      <w:tr w:rsidR="00B259BC">
        <w:tc>
          <w:tcPr>
            <w:tcW w:w="5272" w:type="dxa"/>
            <w:vMerge/>
          </w:tcPr>
          <w:p w:rsidR="00B259BC" w:rsidRDefault="00B259BC">
            <w:pPr>
              <w:spacing w:after="1" w:line="0" w:lineRule="atLeast"/>
            </w:pPr>
          </w:p>
        </w:tc>
        <w:tc>
          <w:tcPr>
            <w:tcW w:w="994" w:type="dxa"/>
            <w:vMerge/>
          </w:tcPr>
          <w:p w:rsidR="00B259BC" w:rsidRDefault="00B259BC">
            <w:pPr>
              <w:spacing w:after="1" w:line="0" w:lineRule="atLeast"/>
            </w:pPr>
          </w:p>
        </w:tc>
        <w:tc>
          <w:tcPr>
            <w:tcW w:w="1361" w:type="dxa"/>
          </w:tcPr>
          <w:p w:rsidR="00B259BC" w:rsidRDefault="00B259BC">
            <w:pPr>
              <w:pStyle w:val="ConsPlusNormal"/>
              <w:jc w:val="center"/>
            </w:pPr>
            <w:r>
              <w:t>в отчетном периоде</w:t>
            </w:r>
          </w:p>
        </w:tc>
        <w:tc>
          <w:tcPr>
            <w:tcW w:w="1440" w:type="dxa"/>
          </w:tcPr>
          <w:p w:rsidR="00B259BC" w:rsidRDefault="00B259BC">
            <w:pPr>
              <w:pStyle w:val="ConsPlusNormal"/>
              <w:jc w:val="center"/>
            </w:pPr>
            <w:r>
              <w:t>нарастающим итогом</w:t>
            </w:r>
          </w:p>
        </w:tc>
      </w:tr>
      <w:tr w:rsidR="00B259BC">
        <w:tc>
          <w:tcPr>
            <w:tcW w:w="5272" w:type="dxa"/>
          </w:tcPr>
          <w:p w:rsidR="00B259BC" w:rsidRDefault="00B259BC">
            <w:pPr>
              <w:pStyle w:val="ConsPlusNormal"/>
              <w:jc w:val="center"/>
            </w:pPr>
            <w:r>
              <w:t>1</w:t>
            </w:r>
          </w:p>
        </w:tc>
        <w:tc>
          <w:tcPr>
            <w:tcW w:w="994" w:type="dxa"/>
          </w:tcPr>
          <w:p w:rsidR="00B259BC" w:rsidRDefault="00B259BC">
            <w:pPr>
              <w:pStyle w:val="ConsPlusNormal"/>
              <w:jc w:val="center"/>
            </w:pPr>
            <w:r>
              <w:t>2</w:t>
            </w:r>
          </w:p>
        </w:tc>
        <w:tc>
          <w:tcPr>
            <w:tcW w:w="1361" w:type="dxa"/>
          </w:tcPr>
          <w:p w:rsidR="00B259BC" w:rsidRDefault="00B259BC">
            <w:pPr>
              <w:pStyle w:val="ConsPlusNormal"/>
              <w:jc w:val="center"/>
            </w:pPr>
            <w:r>
              <w:t>3</w:t>
            </w:r>
          </w:p>
        </w:tc>
        <w:tc>
          <w:tcPr>
            <w:tcW w:w="1440" w:type="dxa"/>
          </w:tcPr>
          <w:p w:rsidR="00B259BC" w:rsidRDefault="00B259BC">
            <w:pPr>
              <w:pStyle w:val="ConsPlusNormal"/>
              <w:jc w:val="center"/>
            </w:pPr>
            <w:r>
              <w:t>4</w:t>
            </w:r>
          </w:p>
        </w:tc>
      </w:tr>
      <w:tr w:rsidR="00B259BC">
        <w:tc>
          <w:tcPr>
            <w:tcW w:w="5272" w:type="dxa"/>
            <w:vAlign w:val="bottom"/>
          </w:tcPr>
          <w:p w:rsidR="00B259BC" w:rsidRDefault="00B259BC">
            <w:pPr>
              <w:pStyle w:val="ConsPlusNormal"/>
            </w:pPr>
            <w:r>
              <w:t>Остаток средств нормированного страхового запаса территориального фонда обязательного медицинского страхования (далее - ТФОМС) в бюджете ТФОМС на начало отчетного периода</w:t>
            </w:r>
          </w:p>
        </w:tc>
        <w:tc>
          <w:tcPr>
            <w:tcW w:w="994" w:type="dxa"/>
            <w:vAlign w:val="center"/>
          </w:tcPr>
          <w:p w:rsidR="00B259BC" w:rsidRDefault="00B259BC">
            <w:pPr>
              <w:pStyle w:val="ConsPlusNormal"/>
              <w:jc w:val="center"/>
            </w:pPr>
            <w:bookmarkStart w:id="25" w:name="P220"/>
            <w:bookmarkEnd w:id="25"/>
            <w:r>
              <w:t>100</w:t>
            </w:r>
          </w:p>
        </w:tc>
        <w:tc>
          <w:tcPr>
            <w:tcW w:w="1361" w:type="dxa"/>
          </w:tcPr>
          <w:p w:rsidR="00B259BC" w:rsidRDefault="00B259BC">
            <w:pPr>
              <w:pStyle w:val="ConsPlusNormal"/>
            </w:pPr>
          </w:p>
        </w:tc>
        <w:tc>
          <w:tcPr>
            <w:tcW w:w="1440" w:type="dxa"/>
          </w:tcPr>
          <w:p w:rsidR="00B259BC" w:rsidRDefault="00B259BC">
            <w:pPr>
              <w:pStyle w:val="ConsPlusNormal"/>
            </w:pPr>
          </w:p>
        </w:tc>
      </w:tr>
      <w:tr w:rsidR="00B259BC">
        <w:tc>
          <w:tcPr>
            <w:tcW w:w="5272" w:type="dxa"/>
            <w:vAlign w:val="bottom"/>
          </w:tcPr>
          <w:p w:rsidR="00B259BC" w:rsidRDefault="00B259BC">
            <w:pPr>
              <w:pStyle w:val="ConsPlusNormal"/>
            </w:pPr>
            <w:r>
              <w:t>Поступило в бюджет ТФОМС, всего, в том числе:</w:t>
            </w:r>
          </w:p>
        </w:tc>
        <w:tc>
          <w:tcPr>
            <w:tcW w:w="994" w:type="dxa"/>
            <w:vAlign w:val="center"/>
          </w:tcPr>
          <w:p w:rsidR="00B259BC" w:rsidRDefault="00B259BC">
            <w:pPr>
              <w:pStyle w:val="ConsPlusNormal"/>
              <w:jc w:val="center"/>
            </w:pPr>
            <w:bookmarkStart w:id="26" w:name="P224"/>
            <w:bookmarkEnd w:id="26"/>
            <w:r>
              <w:t>110</w:t>
            </w:r>
          </w:p>
        </w:tc>
        <w:tc>
          <w:tcPr>
            <w:tcW w:w="1361" w:type="dxa"/>
          </w:tcPr>
          <w:p w:rsidR="00B259BC" w:rsidRDefault="00B259BC">
            <w:pPr>
              <w:pStyle w:val="ConsPlusNormal"/>
            </w:pPr>
          </w:p>
        </w:tc>
        <w:tc>
          <w:tcPr>
            <w:tcW w:w="1440" w:type="dxa"/>
          </w:tcPr>
          <w:p w:rsidR="00B259BC" w:rsidRDefault="00B259BC">
            <w:pPr>
              <w:pStyle w:val="ConsPlusNormal"/>
            </w:pPr>
          </w:p>
        </w:tc>
      </w:tr>
      <w:tr w:rsidR="00B259BC">
        <w:tc>
          <w:tcPr>
            <w:tcW w:w="5272" w:type="dxa"/>
            <w:vAlign w:val="bottom"/>
          </w:tcPr>
          <w:p w:rsidR="00B259BC" w:rsidRDefault="00B259BC">
            <w:pPr>
              <w:pStyle w:val="ConsPlusNormal"/>
              <w:ind w:left="284"/>
            </w:pPr>
            <w:r>
              <w:t>иных межбюджетных трансфертов из бюджета Федерального фонда обязательного медицинского страхования</w:t>
            </w:r>
          </w:p>
        </w:tc>
        <w:tc>
          <w:tcPr>
            <w:tcW w:w="994" w:type="dxa"/>
            <w:vAlign w:val="center"/>
          </w:tcPr>
          <w:p w:rsidR="00B259BC" w:rsidRDefault="00B259BC">
            <w:pPr>
              <w:pStyle w:val="ConsPlusNormal"/>
              <w:jc w:val="center"/>
            </w:pPr>
            <w:bookmarkStart w:id="27" w:name="P228"/>
            <w:bookmarkEnd w:id="27"/>
            <w:r>
              <w:t>111</w:t>
            </w:r>
          </w:p>
        </w:tc>
        <w:tc>
          <w:tcPr>
            <w:tcW w:w="1361" w:type="dxa"/>
          </w:tcPr>
          <w:p w:rsidR="00B259BC" w:rsidRDefault="00B259BC">
            <w:pPr>
              <w:pStyle w:val="ConsPlusNormal"/>
            </w:pPr>
          </w:p>
        </w:tc>
        <w:tc>
          <w:tcPr>
            <w:tcW w:w="1440" w:type="dxa"/>
          </w:tcPr>
          <w:p w:rsidR="00B259BC" w:rsidRDefault="00B259BC">
            <w:pPr>
              <w:pStyle w:val="ConsPlusNormal"/>
            </w:pPr>
          </w:p>
        </w:tc>
      </w:tr>
      <w:tr w:rsidR="00B259BC">
        <w:tc>
          <w:tcPr>
            <w:tcW w:w="5272" w:type="dxa"/>
            <w:vAlign w:val="bottom"/>
          </w:tcPr>
          <w:p w:rsidR="00B259BC" w:rsidRDefault="00B259BC">
            <w:pPr>
              <w:pStyle w:val="ConsPlusNormal"/>
              <w:ind w:left="284"/>
            </w:pPr>
            <w:r>
              <w:t>возвратов МО средств нормированного страхового запаса ТФОМС, в том числе:</w:t>
            </w:r>
          </w:p>
        </w:tc>
        <w:tc>
          <w:tcPr>
            <w:tcW w:w="994" w:type="dxa"/>
            <w:vAlign w:val="center"/>
          </w:tcPr>
          <w:p w:rsidR="00B259BC" w:rsidRDefault="00B259BC">
            <w:pPr>
              <w:pStyle w:val="ConsPlusNormal"/>
              <w:jc w:val="center"/>
            </w:pPr>
            <w:bookmarkStart w:id="28" w:name="P232"/>
            <w:bookmarkEnd w:id="28"/>
            <w:r>
              <w:t>112</w:t>
            </w:r>
          </w:p>
        </w:tc>
        <w:tc>
          <w:tcPr>
            <w:tcW w:w="1361" w:type="dxa"/>
          </w:tcPr>
          <w:p w:rsidR="00B259BC" w:rsidRDefault="00B259BC">
            <w:pPr>
              <w:pStyle w:val="ConsPlusNormal"/>
            </w:pPr>
          </w:p>
        </w:tc>
        <w:tc>
          <w:tcPr>
            <w:tcW w:w="1440" w:type="dxa"/>
          </w:tcPr>
          <w:p w:rsidR="00B259BC" w:rsidRDefault="00B259BC">
            <w:pPr>
              <w:pStyle w:val="ConsPlusNormal"/>
            </w:pPr>
          </w:p>
        </w:tc>
      </w:tr>
      <w:tr w:rsidR="00B259BC">
        <w:tc>
          <w:tcPr>
            <w:tcW w:w="5272" w:type="dxa"/>
            <w:vAlign w:val="bottom"/>
          </w:tcPr>
          <w:p w:rsidR="00B259BC" w:rsidRDefault="00B259BC">
            <w:pPr>
              <w:pStyle w:val="ConsPlusNormal"/>
              <w:ind w:left="284"/>
            </w:pPr>
            <w:r>
              <w:t>возвратов МО средств нормированного страхового запаса ТФОМС, использованных не по целевому назначению за отчетные периоды прошлых лет</w:t>
            </w:r>
          </w:p>
        </w:tc>
        <w:tc>
          <w:tcPr>
            <w:tcW w:w="994" w:type="dxa"/>
            <w:vAlign w:val="center"/>
          </w:tcPr>
          <w:p w:rsidR="00B259BC" w:rsidRDefault="00B259BC">
            <w:pPr>
              <w:pStyle w:val="ConsPlusNormal"/>
              <w:jc w:val="center"/>
            </w:pPr>
            <w:bookmarkStart w:id="29" w:name="P236"/>
            <w:bookmarkEnd w:id="29"/>
            <w:r>
              <w:t>113</w:t>
            </w:r>
          </w:p>
        </w:tc>
        <w:tc>
          <w:tcPr>
            <w:tcW w:w="1361" w:type="dxa"/>
          </w:tcPr>
          <w:p w:rsidR="00B259BC" w:rsidRDefault="00B259BC">
            <w:pPr>
              <w:pStyle w:val="ConsPlusNormal"/>
            </w:pPr>
          </w:p>
        </w:tc>
        <w:tc>
          <w:tcPr>
            <w:tcW w:w="1440" w:type="dxa"/>
          </w:tcPr>
          <w:p w:rsidR="00B259BC" w:rsidRDefault="00B259BC">
            <w:pPr>
              <w:pStyle w:val="ConsPlusNormal"/>
            </w:pPr>
          </w:p>
        </w:tc>
      </w:tr>
      <w:tr w:rsidR="00B259BC">
        <w:tc>
          <w:tcPr>
            <w:tcW w:w="5272" w:type="dxa"/>
            <w:vAlign w:val="bottom"/>
          </w:tcPr>
          <w:p w:rsidR="00B259BC" w:rsidRDefault="00B259BC">
            <w:pPr>
              <w:pStyle w:val="ConsPlusNormal"/>
            </w:pPr>
            <w:r>
              <w:t>Направлено на формирование нормированного страхового запаса ТФОМС</w:t>
            </w:r>
          </w:p>
        </w:tc>
        <w:tc>
          <w:tcPr>
            <w:tcW w:w="994" w:type="dxa"/>
            <w:vAlign w:val="center"/>
          </w:tcPr>
          <w:p w:rsidR="00B259BC" w:rsidRDefault="00B259BC">
            <w:pPr>
              <w:pStyle w:val="ConsPlusNormal"/>
              <w:jc w:val="center"/>
            </w:pPr>
            <w:bookmarkStart w:id="30" w:name="P240"/>
            <w:bookmarkEnd w:id="30"/>
            <w:r>
              <w:t>120</w:t>
            </w:r>
          </w:p>
        </w:tc>
        <w:tc>
          <w:tcPr>
            <w:tcW w:w="1361" w:type="dxa"/>
          </w:tcPr>
          <w:p w:rsidR="00B259BC" w:rsidRDefault="00B259BC">
            <w:pPr>
              <w:pStyle w:val="ConsPlusNormal"/>
            </w:pPr>
          </w:p>
        </w:tc>
        <w:tc>
          <w:tcPr>
            <w:tcW w:w="1440" w:type="dxa"/>
          </w:tcPr>
          <w:p w:rsidR="00B259BC" w:rsidRDefault="00B259BC">
            <w:pPr>
              <w:pStyle w:val="ConsPlusNormal"/>
            </w:pPr>
          </w:p>
        </w:tc>
      </w:tr>
      <w:tr w:rsidR="00B259BC">
        <w:tc>
          <w:tcPr>
            <w:tcW w:w="5272" w:type="dxa"/>
            <w:vAlign w:val="bottom"/>
          </w:tcPr>
          <w:p w:rsidR="00B259BC" w:rsidRDefault="00B259BC">
            <w:pPr>
              <w:pStyle w:val="ConsPlusNormal"/>
            </w:pPr>
            <w:r>
              <w:t>Направлено средств нормированного страхового запаса из бюджета ТФОМС в МО на оплату труда медицинских работников, всего, в том числе:</w:t>
            </w:r>
          </w:p>
        </w:tc>
        <w:tc>
          <w:tcPr>
            <w:tcW w:w="994" w:type="dxa"/>
            <w:vAlign w:val="center"/>
          </w:tcPr>
          <w:p w:rsidR="00B259BC" w:rsidRDefault="00B259BC">
            <w:pPr>
              <w:pStyle w:val="ConsPlusNormal"/>
              <w:jc w:val="center"/>
            </w:pPr>
            <w:bookmarkStart w:id="31" w:name="P244"/>
            <w:bookmarkEnd w:id="31"/>
            <w:r>
              <w:t>130</w:t>
            </w:r>
          </w:p>
        </w:tc>
        <w:tc>
          <w:tcPr>
            <w:tcW w:w="1361" w:type="dxa"/>
          </w:tcPr>
          <w:p w:rsidR="00B259BC" w:rsidRDefault="00B259BC">
            <w:pPr>
              <w:pStyle w:val="ConsPlusNormal"/>
            </w:pPr>
          </w:p>
        </w:tc>
        <w:tc>
          <w:tcPr>
            <w:tcW w:w="1440" w:type="dxa"/>
          </w:tcPr>
          <w:p w:rsidR="00B259BC" w:rsidRDefault="00B259BC">
            <w:pPr>
              <w:pStyle w:val="ConsPlusNormal"/>
            </w:pPr>
          </w:p>
        </w:tc>
      </w:tr>
      <w:tr w:rsidR="00B259BC">
        <w:tc>
          <w:tcPr>
            <w:tcW w:w="5272" w:type="dxa"/>
            <w:vAlign w:val="bottom"/>
          </w:tcPr>
          <w:p w:rsidR="00B259BC" w:rsidRDefault="00B259BC">
            <w:pPr>
              <w:pStyle w:val="ConsPlusNormal"/>
              <w:ind w:left="284"/>
            </w:pPr>
            <w:r>
              <w:t>врачей</w:t>
            </w:r>
          </w:p>
        </w:tc>
        <w:tc>
          <w:tcPr>
            <w:tcW w:w="994" w:type="dxa"/>
            <w:vAlign w:val="bottom"/>
          </w:tcPr>
          <w:p w:rsidR="00B259BC" w:rsidRDefault="00B259BC">
            <w:pPr>
              <w:pStyle w:val="ConsPlusNormal"/>
              <w:jc w:val="center"/>
            </w:pPr>
            <w:bookmarkStart w:id="32" w:name="P248"/>
            <w:bookmarkEnd w:id="32"/>
            <w:r>
              <w:t>131</w:t>
            </w:r>
          </w:p>
        </w:tc>
        <w:tc>
          <w:tcPr>
            <w:tcW w:w="1361" w:type="dxa"/>
          </w:tcPr>
          <w:p w:rsidR="00B259BC" w:rsidRDefault="00B259BC">
            <w:pPr>
              <w:pStyle w:val="ConsPlusNormal"/>
            </w:pPr>
          </w:p>
        </w:tc>
        <w:tc>
          <w:tcPr>
            <w:tcW w:w="1440" w:type="dxa"/>
          </w:tcPr>
          <w:p w:rsidR="00B259BC" w:rsidRDefault="00B259BC">
            <w:pPr>
              <w:pStyle w:val="ConsPlusNormal"/>
            </w:pPr>
          </w:p>
        </w:tc>
      </w:tr>
      <w:tr w:rsidR="00B259BC">
        <w:tc>
          <w:tcPr>
            <w:tcW w:w="5272" w:type="dxa"/>
            <w:vAlign w:val="bottom"/>
          </w:tcPr>
          <w:p w:rsidR="00B259BC" w:rsidRDefault="00B259BC">
            <w:pPr>
              <w:pStyle w:val="ConsPlusNormal"/>
              <w:ind w:left="284"/>
            </w:pPr>
            <w:r>
              <w:t>среднего медицинского персонала</w:t>
            </w:r>
          </w:p>
        </w:tc>
        <w:tc>
          <w:tcPr>
            <w:tcW w:w="994" w:type="dxa"/>
            <w:vAlign w:val="bottom"/>
          </w:tcPr>
          <w:p w:rsidR="00B259BC" w:rsidRDefault="00B259BC">
            <w:pPr>
              <w:pStyle w:val="ConsPlusNormal"/>
              <w:jc w:val="center"/>
            </w:pPr>
            <w:bookmarkStart w:id="33" w:name="P252"/>
            <w:bookmarkEnd w:id="33"/>
            <w:r>
              <w:t>132</w:t>
            </w:r>
          </w:p>
        </w:tc>
        <w:tc>
          <w:tcPr>
            <w:tcW w:w="1361" w:type="dxa"/>
          </w:tcPr>
          <w:p w:rsidR="00B259BC" w:rsidRDefault="00B259BC">
            <w:pPr>
              <w:pStyle w:val="ConsPlusNormal"/>
            </w:pPr>
          </w:p>
        </w:tc>
        <w:tc>
          <w:tcPr>
            <w:tcW w:w="1440" w:type="dxa"/>
          </w:tcPr>
          <w:p w:rsidR="00B259BC" w:rsidRDefault="00B259BC">
            <w:pPr>
              <w:pStyle w:val="ConsPlusNormal"/>
            </w:pPr>
          </w:p>
        </w:tc>
      </w:tr>
      <w:tr w:rsidR="00B259BC">
        <w:tc>
          <w:tcPr>
            <w:tcW w:w="5272" w:type="dxa"/>
            <w:vAlign w:val="bottom"/>
          </w:tcPr>
          <w:p w:rsidR="00B259BC" w:rsidRDefault="00B259BC">
            <w:pPr>
              <w:pStyle w:val="ConsPlusNormal"/>
            </w:pPr>
            <w:r>
              <w:t>Возвращено средств нормированного страхового запаса из бюджета ТФОМС в бюджет Федерального фонда обязательного медицинского страхования, всего, в том числе:</w:t>
            </w:r>
          </w:p>
        </w:tc>
        <w:tc>
          <w:tcPr>
            <w:tcW w:w="994" w:type="dxa"/>
            <w:vAlign w:val="center"/>
          </w:tcPr>
          <w:p w:rsidR="00B259BC" w:rsidRDefault="00B259BC">
            <w:pPr>
              <w:pStyle w:val="ConsPlusNormal"/>
              <w:jc w:val="center"/>
            </w:pPr>
            <w:bookmarkStart w:id="34" w:name="P256"/>
            <w:bookmarkEnd w:id="34"/>
            <w:r>
              <w:t>140</w:t>
            </w:r>
          </w:p>
        </w:tc>
        <w:tc>
          <w:tcPr>
            <w:tcW w:w="1361" w:type="dxa"/>
          </w:tcPr>
          <w:p w:rsidR="00B259BC" w:rsidRDefault="00B259BC">
            <w:pPr>
              <w:pStyle w:val="ConsPlusNormal"/>
            </w:pPr>
          </w:p>
        </w:tc>
        <w:tc>
          <w:tcPr>
            <w:tcW w:w="1440" w:type="dxa"/>
          </w:tcPr>
          <w:p w:rsidR="00B259BC" w:rsidRDefault="00B259BC">
            <w:pPr>
              <w:pStyle w:val="ConsPlusNormal"/>
            </w:pPr>
          </w:p>
        </w:tc>
      </w:tr>
      <w:tr w:rsidR="00B259BC">
        <w:tc>
          <w:tcPr>
            <w:tcW w:w="5272" w:type="dxa"/>
            <w:vAlign w:val="bottom"/>
          </w:tcPr>
          <w:p w:rsidR="00B259BC" w:rsidRDefault="00B259BC">
            <w:pPr>
              <w:pStyle w:val="ConsPlusNormal"/>
              <w:ind w:left="284"/>
            </w:pPr>
            <w:r>
              <w:t>использованных не по целевому назначению за отчетные периоды прошлых лет</w:t>
            </w:r>
          </w:p>
        </w:tc>
        <w:tc>
          <w:tcPr>
            <w:tcW w:w="994" w:type="dxa"/>
            <w:vAlign w:val="center"/>
          </w:tcPr>
          <w:p w:rsidR="00B259BC" w:rsidRDefault="00B259BC">
            <w:pPr>
              <w:pStyle w:val="ConsPlusNormal"/>
              <w:jc w:val="center"/>
            </w:pPr>
            <w:bookmarkStart w:id="35" w:name="P260"/>
            <w:bookmarkEnd w:id="35"/>
            <w:r>
              <w:t>141</w:t>
            </w:r>
          </w:p>
        </w:tc>
        <w:tc>
          <w:tcPr>
            <w:tcW w:w="1361" w:type="dxa"/>
          </w:tcPr>
          <w:p w:rsidR="00B259BC" w:rsidRDefault="00B259BC">
            <w:pPr>
              <w:pStyle w:val="ConsPlusNormal"/>
            </w:pPr>
          </w:p>
        </w:tc>
        <w:tc>
          <w:tcPr>
            <w:tcW w:w="1440" w:type="dxa"/>
          </w:tcPr>
          <w:p w:rsidR="00B259BC" w:rsidRDefault="00B259BC">
            <w:pPr>
              <w:pStyle w:val="ConsPlusNormal"/>
            </w:pPr>
          </w:p>
        </w:tc>
      </w:tr>
      <w:tr w:rsidR="00B259BC">
        <w:tc>
          <w:tcPr>
            <w:tcW w:w="5272" w:type="dxa"/>
            <w:vAlign w:val="bottom"/>
          </w:tcPr>
          <w:p w:rsidR="00B259BC" w:rsidRDefault="00B259BC">
            <w:pPr>
              <w:pStyle w:val="ConsPlusNormal"/>
            </w:pPr>
            <w:r>
              <w:t>Остаток средств нормированного страхового запаса ТФОМС в бюджете ТФОМС на конец отчетного периода</w:t>
            </w:r>
          </w:p>
        </w:tc>
        <w:tc>
          <w:tcPr>
            <w:tcW w:w="994" w:type="dxa"/>
            <w:vAlign w:val="center"/>
          </w:tcPr>
          <w:p w:rsidR="00B259BC" w:rsidRDefault="00B259BC">
            <w:pPr>
              <w:pStyle w:val="ConsPlusNormal"/>
              <w:jc w:val="center"/>
            </w:pPr>
            <w:bookmarkStart w:id="36" w:name="P264"/>
            <w:bookmarkEnd w:id="36"/>
            <w:r>
              <w:t>150</w:t>
            </w:r>
          </w:p>
        </w:tc>
        <w:tc>
          <w:tcPr>
            <w:tcW w:w="1361" w:type="dxa"/>
          </w:tcPr>
          <w:p w:rsidR="00B259BC" w:rsidRDefault="00B259BC">
            <w:pPr>
              <w:pStyle w:val="ConsPlusNormal"/>
            </w:pPr>
          </w:p>
        </w:tc>
        <w:tc>
          <w:tcPr>
            <w:tcW w:w="1440" w:type="dxa"/>
          </w:tcPr>
          <w:p w:rsidR="00B259BC" w:rsidRDefault="00B259BC">
            <w:pPr>
              <w:pStyle w:val="ConsPlusNormal"/>
            </w:pPr>
          </w:p>
        </w:tc>
      </w:tr>
    </w:tbl>
    <w:p w:rsidR="00B259BC" w:rsidRDefault="00B259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2"/>
        <w:gridCol w:w="1781"/>
        <w:gridCol w:w="340"/>
        <w:gridCol w:w="1622"/>
        <w:gridCol w:w="340"/>
        <w:gridCol w:w="2664"/>
      </w:tblGrid>
      <w:tr w:rsidR="00B259BC">
        <w:tc>
          <w:tcPr>
            <w:tcW w:w="2352" w:type="dxa"/>
            <w:vMerge w:val="restart"/>
            <w:tcBorders>
              <w:top w:val="nil"/>
              <w:left w:val="nil"/>
              <w:bottom w:val="nil"/>
              <w:right w:val="nil"/>
            </w:tcBorders>
          </w:tcPr>
          <w:p w:rsidR="00B259BC" w:rsidRDefault="00B259BC">
            <w:pPr>
              <w:pStyle w:val="ConsPlusNormal"/>
            </w:pPr>
            <w:r>
              <w:t>Руководитель (уполномоченное лицо)</w:t>
            </w:r>
          </w:p>
        </w:tc>
        <w:tc>
          <w:tcPr>
            <w:tcW w:w="1781" w:type="dxa"/>
            <w:tcBorders>
              <w:top w:val="nil"/>
              <w:left w:val="nil"/>
              <w:bottom w:val="single" w:sz="4" w:space="0" w:color="auto"/>
              <w:right w:val="nil"/>
            </w:tcBorders>
          </w:tcPr>
          <w:p w:rsidR="00B259BC" w:rsidRDefault="00B259BC">
            <w:pPr>
              <w:pStyle w:val="ConsPlusNormal"/>
            </w:pPr>
          </w:p>
        </w:tc>
        <w:tc>
          <w:tcPr>
            <w:tcW w:w="340" w:type="dxa"/>
            <w:tcBorders>
              <w:top w:val="nil"/>
              <w:left w:val="nil"/>
              <w:bottom w:val="nil"/>
              <w:right w:val="nil"/>
            </w:tcBorders>
          </w:tcPr>
          <w:p w:rsidR="00B259BC" w:rsidRDefault="00B259BC">
            <w:pPr>
              <w:pStyle w:val="ConsPlusNormal"/>
            </w:pPr>
          </w:p>
        </w:tc>
        <w:tc>
          <w:tcPr>
            <w:tcW w:w="1622" w:type="dxa"/>
            <w:tcBorders>
              <w:top w:val="nil"/>
              <w:left w:val="nil"/>
              <w:bottom w:val="nil"/>
              <w:right w:val="nil"/>
            </w:tcBorders>
          </w:tcPr>
          <w:p w:rsidR="00B259BC" w:rsidRDefault="00B259BC">
            <w:pPr>
              <w:pStyle w:val="ConsPlusNormal"/>
              <w:jc w:val="center"/>
            </w:pPr>
            <w:r>
              <w:t>М.П.</w:t>
            </w:r>
          </w:p>
        </w:tc>
        <w:tc>
          <w:tcPr>
            <w:tcW w:w="340" w:type="dxa"/>
            <w:tcBorders>
              <w:top w:val="nil"/>
              <w:left w:val="nil"/>
              <w:bottom w:val="nil"/>
              <w:right w:val="nil"/>
            </w:tcBorders>
          </w:tcPr>
          <w:p w:rsidR="00B259BC" w:rsidRDefault="00B259BC">
            <w:pPr>
              <w:pStyle w:val="ConsPlusNormal"/>
            </w:pPr>
          </w:p>
        </w:tc>
        <w:tc>
          <w:tcPr>
            <w:tcW w:w="2664" w:type="dxa"/>
            <w:tcBorders>
              <w:top w:val="nil"/>
              <w:left w:val="nil"/>
              <w:bottom w:val="single" w:sz="4" w:space="0" w:color="auto"/>
              <w:right w:val="nil"/>
            </w:tcBorders>
          </w:tcPr>
          <w:p w:rsidR="00B259BC" w:rsidRDefault="00B259BC">
            <w:pPr>
              <w:pStyle w:val="ConsPlusNormal"/>
            </w:pPr>
          </w:p>
        </w:tc>
      </w:tr>
      <w:tr w:rsidR="00B259BC">
        <w:tc>
          <w:tcPr>
            <w:tcW w:w="2352" w:type="dxa"/>
            <w:vMerge/>
            <w:tcBorders>
              <w:top w:val="nil"/>
              <w:left w:val="nil"/>
              <w:bottom w:val="nil"/>
              <w:right w:val="nil"/>
            </w:tcBorders>
          </w:tcPr>
          <w:p w:rsidR="00B259BC" w:rsidRDefault="00B259BC">
            <w:pPr>
              <w:spacing w:after="1" w:line="0" w:lineRule="atLeast"/>
            </w:pPr>
          </w:p>
        </w:tc>
        <w:tc>
          <w:tcPr>
            <w:tcW w:w="1781" w:type="dxa"/>
            <w:tcBorders>
              <w:top w:val="single" w:sz="4" w:space="0" w:color="auto"/>
              <w:left w:val="nil"/>
              <w:bottom w:val="nil"/>
              <w:right w:val="nil"/>
            </w:tcBorders>
          </w:tcPr>
          <w:p w:rsidR="00B259BC" w:rsidRDefault="00B259BC">
            <w:pPr>
              <w:pStyle w:val="ConsPlusNormal"/>
              <w:jc w:val="center"/>
            </w:pPr>
            <w:r>
              <w:t>(подпись)</w:t>
            </w:r>
          </w:p>
        </w:tc>
        <w:tc>
          <w:tcPr>
            <w:tcW w:w="340" w:type="dxa"/>
            <w:tcBorders>
              <w:top w:val="nil"/>
              <w:left w:val="nil"/>
              <w:bottom w:val="nil"/>
              <w:right w:val="nil"/>
            </w:tcBorders>
          </w:tcPr>
          <w:p w:rsidR="00B259BC" w:rsidRDefault="00B259BC">
            <w:pPr>
              <w:pStyle w:val="ConsPlusNormal"/>
            </w:pPr>
          </w:p>
        </w:tc>
        <w:tc>
          <w:tcPr>
            <w:tcW w:w="1622" w:type="dxa"/>
            <w:tcBorders>
              <w:top w:val="nil"/>
              <w:left w:val="nil"/>
              <w:bottom w:val="nil"/>
              <w:right w:val="nil"/>
            </w:tcBorders>
          </w:tcPr>
          <w:p w:rsidR="00B259BC" w:rsidRDefault="00B259BC">
            <w:pPr>
              <w:pStyle w:val="ConsPlusNormal"/>
              <w:jc w:val="center"/>
            </w:pPr>
            <w:r>
              <w:t>(при наличии)</w:t>
            </w:r>
          </w:p>
        </w:tc>
        <w:tc>
          <w:tcPr>
            <w:tcW w:w="340" w:type="dxa"/>
            <w:tcBorders>
              <w:top w:val="nil"/>
              <w:left w:val="nil"/>
              <w:bottom w:val="nil"/>
              <w:right w:val="nil"/>
            </w:tcBorders>
          </w:tcPr>
          <w:p w:rsidR="00B259BC" w:rsidRDefault="00B259BC">
            <w:pPr>
              <w:pStyle w:val="ConsPlusNormal"/>
            </w:pPr>
          </w:p>
        </w:tc>
        <w:tc>
          <w:tcPr>
            <w:tcW w:w="2664" w:type="dxa"/>
            <w:tcBorders>
              <w:top w:val="single" w:sz="4" w:space="0" w:color="auto"/>
              <w:left w:val="nil"/>
              <w:bottom w:val="nil"/>
              <w:right w:val="nil"/>
            </w:tcBorders>
          </w:tcPr>
          <w:p w:rsidR="00B259BC" w:rsidRDefault="00B259BC">
            <w:pPr>
              <w:pStyle w:val="ConsPlusNormal"/>
              <w:jc w:val="center"/>
            </w:pPr>
            <w:r>
              <w:t>(расшифровка подписи)</w:t>
            </w:r>
          </w:p>
        </w:tc>
      </w:tr>
      <w:tr w:rsidR="00B259BC">
        <w:tc>
          <w:tcPr>
            <w:tcW w:w="9099" w:type="dxa"/>
            <w:gridSpan w:val="6"/>
            <w:tcBorders>
              <w:top w:val="nil"/>
              <w:left w:val="nil"/>
              <w:bottom w:val="nil"/>
              <w:right w:val="nil"/>
            </w:tcBorders>
          </w:tcPr>
          <w:p w:rsidR="00B259BC" w:rsidRDefault="00B259BC">
            <w:pPr>
              <w:pStyle w:val="ConsPlusNonformat"/>
              <w:jc w:val="both"/>
            </w:pPr>
            <w:r>
              <w:lastRenderedPageBreak/>
              <w:t>"__" _____________ 20__ г.</w:t>
            </w:r>
          </w:p>
          <w:p w:rsidR="00B259BC" w:rsidRDefault="00B259BC">
            <w:pPr>
              <w:pStyle w:val="ConsPlusNonformat"/>
              <w:jc w:val="both"/>
            </w:pPr>
            <w:r>
              <w:t xml:space="preserve">    (дата составления)</w:t>
            </w:r>
          </w:p>
        </w:tc>
      </w:tr>
    </w:tbl>
    <w:p w:rsidR="00B259BC" w:rsidRDefault="00B259BC">
      <w:pPr>
        <w:pStyle w:val="ConsPlusNormal"/>
        <w:jc w:val="both"/>
      </w:pPr>
    </w:p>
    <w:p w:rsidR="00B259BC" w:rsidRDefault="00B259BC">
      <w:pPr>
        <w:pStyle w:val="ConsPlusNormal"/>
        <w:jc w:val="both"/>
      </w:pPr>
    </w:p>
    <w:p w:rsidR="00B259BC" w:rsidRDefault="00B259BC">
      <w:pPr>
        <w:pStyle w:val="ConsPlusNormal"/>
        <w:pBdr>
          <w:top w:val="single" w:sz="6" w:space="0" w:color="auto"/>
        </w:pBdr>
        <w:spacing w:before="100" w:after="100"/>
        <w:jc w:val="both"/>
        <w:rPr>
          <w:sz w:val="2"/>
          <w:szCs w:val="2"/>
        </w:rPr>
      </w:pPr>
    </w:p>
    <w:p w:rsidR="00F13C5E" w:rsidRDefault="00F13C5E">
      <w:bookmarkStart w:id="37" w:name="_GoBack"/>
      <w:bookmarkEnd w:id="37"/>
    </w:p>
    <w:sectPr w:rsidR="00F13C5E" w:rsidSect="00331DE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BC"/>
    <w:rsid w:val="00B259BC"/>
    <w:rsid w:val="00F13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9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59B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9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59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E9F3A57CE4490FDFEA5E27D0CD7006247A7327CB507A132D9B98E24E432C846B07CDC427A73B1298A5F297ECkEv1F" TargetMode="External"/><Relationship Id="rId13" Type="http://schemas.openxmlformats.org/officeDocument/2006/relationships/hyperlink" Target="consultantplus://offline/ref=A7E9F3A57CE4490FDFEA5E27D0CD700624767C20CE557A132D9B98E24E432C84790795C82DAD2E46CFFFA59AECEBFAC4D3AE5776FEk4v9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7E9F3A57CE4490FDFEA5E27D0CD700624797222CD547A132D9B98E24E432C84790795C825AF25109AB0A4C6AAB6E9C6DDAE5570E2499678k0v2F" TargetMode="External"/><Relationship Id="rId12" Type="http://schemas.openxmlformats.org/officeDocument/2006/relationships/hyperlink" Target="consultantplus://offline/ref=A7E9F3A57CE4490FDFEA5E27D0CD700624797D27CB547A132D9B98E24E432C84790795C825A47143DAEEFD95E6FDE4C2CBB25574kFvEF" TargetMode="External"/><Relationship Id="rId17" Type="http://schemas.openxmlformats.org/officeDocument/2006/relationships/hyperlink" Target="consultantplus://offline/ref=A7E9F3A57CE4490FDFEA5E27D0CD7006237F7C24CF507A132D9B98E24E432C846B07CDC427A73B1298A5F297ECkEv1F" TargetMode="External"/><Relationship Id="rId2" Type="http://schemas.microsoft.com/office/2007/relationships/stylesWithEffects" Target="stylesWithEffects.xml"/><Relationship Id="rId16" Type="http://schemas.openxmlformats.org/officeDocument/2006/relationships/hyperlink" Target="consultantplus://offline/ref=A7E9F3A57CE4490FDFEA5E27D0CD7006267A7D2ECE577A132D9B98E24E432C846B07CDC427A73B1298A5F297ECkEv1F" TargetMode="External"/><Relationship Id="rId1" Type="http://schemas.openxmlformats.org/officeDocument/2006/relationships/styles" Target="styles.xml"/><Relationship Id="rId6" Type="http://schemas.openxmlformats.org/officeDocument/2006/relationships/hyperlink" Target="consultantplus://offline/ref=A7E9F3A57CE4490FDFEA5E27D0CD700624767C20CE557A132D9B98E24E432C84790795C825AF251B9EB0A4C6AAB6E9C6DDAE5570E2499678k0v2F" TargetMode="External"/><Relationship Id="rId11" Type="http://schemas.openxmlformats.org/officeDocument/2006/relationships/hyperlink" Target="consultantplus://offline/ref=A7E9F3A57CE4490FDFEA5E27D0CD70062479722FCA507A132D9B98E24E432C846B07CDC427A73B1298A5F297ECkEv1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7E9F3A57CE4490FDFEA5E27D0CD700624767C20CE557A132D9B98E24E432C84790795C826A62E46CFFFA59AECEBFAC4D3AE5776FEk4v9F" TargetMode="External"/><Relationship Id="rId10" Type="http://schemas.openxmlformats.org/officeDocument/2006/relationships/hyperlink" Target="consultantplus://offline/ref=A7E9F3A57CE4490FDFEA5E27D0CD700624767C20CE557A132D9B98E24E432C84790795C825AF241796B0A4C6AAB6E9C6DDAE5570E2499678k0v2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7E9F3A57CE4490FDFEA5E27D0CD7006237F7520CD577A132D9B98E24E432C84790795C825AF25139FB0A4C6AAB6E9C6DDAE5570E2499678k0v2F" TargetMode="External"/><Relationship Id="rId14" Type="http://schemas.openxmlformats.org/officeDocument/2006/relationships/hyperlink" Target="consultantplus://offline/ref=A7E9F3A57CE4490FDFEA5E27D0CD700624797D27CA557A132D9B98E24E432C84790795C821A47143DAEEFD95E6FDE4C2CBB25574kFv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3155</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2022-06-28T05:47:00Z</dcterms:created>
  <dcterms:modified xsi:type="dcterms:W3CDTF">2022-06-28T05:50:00Z</dcterms:modified>
</cp:coreProperties>
</file>